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4A" w:rsidRDefault="00AC55BE" w:rsidP="00180350">
      <w:pPr>
        <w:pStyle w:val="Nadpis1"/>
      </w:pPr>
      <w:r w:rsidRPr="00AC55BE">
        <w:t>Identifikace látky / směsi a společnosti / podnikatele</w:t>
      </w:r>
    </w:p>
    <w:p w:rsidR="009F2EC9" w:rsidRPr="0076080B" w:rsidRDefault="0076080B" w:rsidP="00AB790F">
      <w:pPr>
        <w:pStyle w:val="Nadpis2"/>
        <w:rPr>
          <w:rFonts w:cs="Arial"/>
          <w:szCs w:val="22"/>
        </w:rPr>
      </w:pPr>
      <w:r>
        <w:rPr>
          <w:b/>
        </w:rPr>
        <w:t>Identifikátor</w:t>
      </w:r>
      <w:r w:rsidR="00AC55BE" w:rsidRPr="00AC55BE">
        <w:rPr>
          <w:b/>
        </w:rPr>
        <w:t xml:space="preserve"> výrobku:</w:t>
      </w:r>
      <w:r w:rsidR="00A76158">
        <w:rPr>
          <w:b/>
        </w:rPr>
        <w:t xml:space="preserve"> </w:t>
      </w:r>
      <w:r w:rsidR="00AC55BE">
        <w:br/>
        <w:t>Obchodní označení</w:t>
      </w:r>
      <w:r>
        <w:t xml:space="preserve"> látky/směsi </w:t>
      </w:r>
      <w:r w:rsidR="00AC55BE" w:rsidRPr="0076080B">
        <w:rPr>
          <w:rFonts w:cs="Arial"/>
          <w:szCs w:val="22"/>
        </w:rPr>
        <w:t>:</w:t>
      </w:r>
      <w:r w:rsidR="00D8483A" w:rsidRPr="0076080B">
        <w:rPr>
          <w:rFonts w:cs="Arial"/>
          <w:szCs w:val="22"/>
        </w:rPr>
        <w:t xml:space="preserve"> </w:t>
      </w:r>
      <w:r w:rsidR="008661F7">
        <w:rPr>
          <w:rFonts w:cs="Arial"/>
          <w:szCs w:val="22"/>
          <w:lang w:eastAsia="cs-CZ"/>
        </w:rPr>
        <w:t xml:space="preserve"> BATAVAN filtry do obuvi</w:t>
      </w:r>
    </w:p>
    <w:p w:rsidR="000E3C13" w:rsidRPr="00BC7AB6" w:rsidRDefault="000E3C13" w:rsidP="00FC027D">
      <w:pPr>
        <w:pStyle w:val="Nadpis2"/>
        <w:rPr>
          <w:b/>
        </w:rPr>
      </w:pPr>
      <w:r w:rsidRPr="00BC7AB6">
        <w:rPr>
          <w:b/>
        </w:rPr>
        <w:t>Příslušná určení</w:t>
      </w:r>
      <w:r w:rsidR="009F2EC9" w:rsidRPr="00BC7AB6">
        <w:rPr>
          <w:b/>
        </w:rPr>
        <w:t xml:space="preserve"> použití</w:t>
      </w:r>
      <w:r w:rsidRPr="00BC7AB6">
        <w:rPr>
          <w:b/>
        </w:rPr>
        <w:t xml:space="preserve"> směsi a nedoporučená použití</w:t>
      </w:r>
      <w:r w:rsidR="009F2EC9" w:rsidRPr="00BC7AB6">
        <w:rPr>
          <w:b/>
        </w:rPr>
        <w:t xml:space="preserve">: </w:t>
      </w:r>
    </w:p>
    <w:p w:rsidR="006829C8" w:rsidRDefault="000E3C13" w:rsidP="000E3C13">
      <w:pPr>
        <w:pStyle w:val="Nadpis2"/>
        <w:numPr>
          <w:ilvl w:val="0"/>
          <w:numId w:val="0"/>
        </w:numPr>
        <w:ind w:left="1022"/>
      </w:pPr>
      <w:r>
        <w:t xml:space="preserve">Určená použití : </w:t>
      </w:r>
      <w:r w:rsidR="008661F7">
        <w:t>k odstranění potu, pachu a vlhkosti v obuvi</w:t>
      </w:r>
    </w:p>
    <w:p w:rsidR="000E3C13" w:rsidRPr="000E3C13" w:rsidRDefault="000E3C13" w:rsidP="000E3C13">
      <w:r>
        <w:t xml:space="preserve">                 Nedoporučená použití : neuvedeno </w:t>
      </w:r>
    </w:p>
    <w:p w:rsidR="000E3C13" w:rsidRPr="00982CBF" w:rsidRDefault="00AC55BE" w:rsidP="000E3C13">
      <w:pPr>
        <w:pStyle w:val="Nadpis2"/>
        <w:rPr>
          <w:b/>
        </w:rPr>
      </w:pPr>
      <w:r w:rsidRPr="00BC7AB6">
        <w:rPr>
          <w:b/>
        </w:rPr>
        <w:t>Podrobné údaje o dodavateli bezpečnostního listu:</w:t>
      </w:r>
      <w:r w:rsidRPr="00BC7AB6">
        <w:rPr>
          <w:b/>
        </w:rPr>
        <w:br/>
      </w:r>
      <w:r w:rsidRPr="004808BE">
        <w:br/>
        <w:t>Výrobce:</w:t>
      </w:r>
      <w:r w:rsidR="000E3C13">
        <w:t xml:space="preserve">            </w:t>
      </w:r>
      <w:r w:rsidR="00982CBF">
        <w:t xml:space="preserve">                           </w:t>
      </w:r>
      <w:r w:rsidR="008661F7">
        <w:rPr>
          <w:b/>
        </w:rPr>
        <w:t>QUARTIS</w:t>
      </w:r>
      <w:r w:rsidR="000E3C13" w:rsidRPr="00982CBF">
        <w:rPr>
          <w:rFonts w:cs="Arial"/>
          <w:b/>
          <w:szCs w:val="22"/>
          <w:lang w:eastAsia="cs-CZ"/>
        </w:rPr>
        <w:t>, s.r.o.</w:t>
      </w:r>
    </w:p>
    <w:p w:rsidR="00982CBF" w:rsidRPr="008661F7" w:rsidRDefault="000E3C13" w:rsidP="00982CBF">
      <w:pPr>
        <w:pStyle w:val="Normlnweb"/>
        <w:spacing w:after="0"/>
      </w:pPr>
      <w:r>
        <w:t xml:space="preserve">                 </w:t>
      </w:r>
      <w:r w:rsidR="00AC55BE" w:rsidRPr="00AC55BE">
        <w:t>Místo podnikání nebo sídlo:</w:t>
      </w:r>
      <w:r w:rsidR="00EF01D7">
        <w:tab/>
      </w:r>
      <w:r w:rsidR="008661F7" w:rsidRPr="008661F7">
        <w:rPr>
          <w:rFonts w:ascii="Arial" w:hAnsi="Arial" w:cs="Arial"/>
          <w:b/>
          <w:bCs/>
          <w:iCs/>
          <w:sz w:val="22"/>
          <w:szCs w:val="22"/>
        </w:rPr>
        <w:t>Zakouřilova 142, Praha 4</w:t>
      </w:r>
    </w:p>
    <w:p w:rsidR="008661F7" w:rsidRPr="008661F7" w:rsidRDefault="00982CBF" w:rsidP="008661F7">
      <w:pPr>
        <w:pStyle w:val="Normlnweb"/>
        <w:spacing w:after="0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</w:t>
      </w:r>
      <w:r w:rsidRPr="00982CBF">
        <w:rPr>
          <w:rFonts w:ascii="Arial" w:hAnsi="Arial" w:cs="Arial"/>
          <w:sz w:val="22"/>
          <w:szCs w:val="22"/>
        </w:rPr>
        <w:t xml:space="preserve">  IČO: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8661F7">
        <w:rPr>
          <w:rFonts w:ascii="Arial" w:hAnsi="Arial" w:cs="Arial"/>
          <w:sz w:val="22"/>
          <w:szCs w:val="22"/>
        </w:rPr>
        <w:t xml:space="preserve"> </w:t>
      </w:r>
      <w:r w:rsidR="008661F7" w:rsidRPr="008661F7">
        <w:rPr>
          <w:rFonts w:ascii="Arial" w:hAnsi="Arial" w:cs="Arial"/>
          <w:iCs/>
          <w:sz w:val="22"/>
          <w:szCs w:val="22"/>
        </w:rPr>
        <w:t>25790358</w:t>
      </w:r>
      <w:r w:rsidR="000E3C13" w:rsidRPr="00982CBF">
        <w:rPr>
          <w:rFonts w:ascii="Arial" w:hAnsi="Arial" w:cs="Arial"/>
          <w:sz w:val="22"/>
          <w:szCs w:val="22"/>
        </w:rPr>
        <w:br/>
      </w:r>
      <w:r w:rsidR="000E3C13" w:rsidRPr="00982CBF">
        <w:rPr>
          <w:rFonts w:ascii="Arial" w:hAnsi="Arial" w:cs="Arial"/>
          <w:sz w:val="22"/>
          <w:szCs w:val="22"/>
        </w:rPr>
        <w:tab/>
      </w:r>
      <w:r w:rsidR="000E3C13" w:rsidRPr="00982CBF">
        <w:rPr>
          <w:rFonts w:ascii="Arial" w:hAnsi="Arial" w:cs="Arial"/>
          <w:sz w:val="22"/>
          <w:szCs w:val="22"/>
        </w:rPr>
        <w:tab/>
      </w:r>
      <w:r w:rsidR="000E3C13" w:rsidRPr="00982CBF">
        <w:rPr>
          <w:rFonts w:ascii="Arial" w:hAnsi="Arial" w:cs="Arial"/>
          <w:sz w:val="22"/>
          <w:szCs w:val="22"/>
        </w:rPr>
        <w:tab/>
      </w:r>
      <w:r w:rsidR="000E3C13" w:rsidRPr="00982CBF">
        <w:rPr>
          <w:rFonts w:ascii="Arial" w:hAnsi="Arial" w:cs="Arial"/>
          <w:sz w:val="22"/>
          <w:szCs w:val="22"/>
        </w:rPr>
        <w:tab/>
      </w:r>
      <w:r w:rsidR="004808BE" w:rsidRPr="00982CBF">
        <w:rPr>
          <w:rFonts w:ascii="Arial" w:hAnsi="Arial" w:cs="Arial"/>
          <w:sz w:val="22"/>
          <w:szCs w:val="22"/>
        </w:rPr>
        <w:br/>
      </w:r>
      <w:r w:rsidR="0051411B">
        <w:rPr>
          <w:rFonts w:ascii="Arial" w:hAnsi="Arial" w:cs="Arial"/>
          <w:sz w:val="22"/>
          <w:szCs w:val="22"/>
        </w:rPr>
        <w:t xml:space="preserve">               </w:t>
      </w:r>
      <w:r w:rsidR="00BC7AB6" w:rsidRPr="00982CBF">
        <w:rPr>
          <w:rFonts w:ascii="Arial" w:hAnsi="Arial" w:cs="Arial"/>
          <w:sz w:val="22"/>
          <w:szCs w:val="22"/>
        </w:rPr>
        <w:t xml:space="preserve"> </w:t>
      </w:r>
      <w:r w:rsidR="00AC55BE" w:rsidRPr="00982CBF">
        <w:rPr>
          <w:rFonts w:ascii="Arial" w:hAnsi="Arial" w:cs="Arial"/>
          <w:sz w:val="22"/>
          <w:szCs w:val="22"/>
        </w:rPr>
        <w:t>Telefon:</w:t>
      </w:r>
      <w:r w:rsidR="00AC55BE" w:rsidRPr="00982CBF">
        <w:rPr>
          <w:rFonts w:ascii="Arial" w:hAnsi="Arial" w:cs="Arial"/>
          <w:sz w:val="22"/>
          <w:szCs w:val="22"/>
        </w:rPr>
        <w:tab/>
      </w:r>
      <w:r w:rsidR="000E3C13" w:rsidRPr="00982CBF">
        <w:rPr>
          <w:rFonts w:ascii="Arial" w:hAnsi="Arial" w:cs="Arial"/>
          <w:sz w:val="22"/>
          <w:szCs w:val="22"/>
        </w:rPr>
        <w:tab/>
      </w:r>
      <w:r w:rsidR="00BC7AB6" w:rsidRPr="00982CBF">
        <w:rPr>
          <w:rFonts w:ascii="Arial" w:hAnsi="Arial" w:cs="Arial"/>
          <w:sz w:val="22"/>
          <w:szCs w:val="22"/>
        </w:rPr>
        <w:t xml:space="preserve">                    </w:t>
      </w:r>
      <w:r w:rsidRPr="00982CBF">
        <w:rPr>
          <w:rFonts w:ascii="Arial" w:hAnsi="Arial" w:cs="Arial"/>
          <w:sz w:val="22"/>
          <w:szCs w:val="22"/>
        </w:rPr>
        <w:t xml:space="preserve">    +420 </w:t>
      </w:r>
      <w:r w:rsidRPr="008661F7">
        <w:rPr>
          <w:rFonts w:ascii="Arial" w:hAnsi="Arial" w:cs="Arial"/>
          <w:bCs/>
          <w:iCs/>
          <w:sz w:val="22"/>
          <w:szCs w:val="22"/>
        </w:rPr>
        <w:t xml:space="preserve"> </w:t>
      </w:r>
      <w:r w:rsidR="008661F7" w:rsidRPr="008661F7">
        <w:rPr>
          <w:rFonts w:ascii="Arial" w:hAnsi="Arial" w:cs="Arial"/>
          <w:iCs/>
          <w:sz w:val="22"/>
          <w:szCs w:val="22"/>
        </w:rPr>
        <w:t>267912030</w:t>
      </w:r>
      <w:r w:rsidR="00A76158" w:rsidRPr="00982CBF">
        <w:rPr>
          <w:sz w:val="22"/>
          <w:szCs w:val="22"/>
        </w:rPr>
        <w:br/>
      </w:r>
      <w:r w:rsidR="0051411B">
        <w:rPr>
          <w:rFonts w:ascii="Arial" w:hAnsi="Arial" w:cs="Arial"/>
          <w:sz w:val="22"/>
          <w:szCs w:val="22"/>
        </w:rPr>
        <w:t xml:space="preserve">              </w:t>
      </w:r>
      <w:r w:rsidR="00BC7AB6" w:rsidRPr="0051411B">
        <w:rPr>
          <w:rFonts w:ascii="Arial" w:hAnsi="Arial" w:cs="Arial"/>
          <w:sz w:val="22"/>
          <w:szCs w:val="22"/>
        </w:rPr>
        <w:t xml:space="preserve">  </w:t>
      </w:r>
      <w:r w:rsidR="00A76158" w:rsidRPr="0051411B">
        <w:rPr>
          <w:rFonts w:ascii="Arial" w:hAnsi="Arial" w:cs="Arial"/>
          <w:sz w:val="22"/>
          <w:szCs w:val="22"/>
        </w:rPr>
        <w:t>E-mail:</w:t>
      </w:r>
      <w:r w:rsidR="00A76158" w:rsidRPr="0051411B">
        <w:rPr>
          <w:rFonts w:ascii="Arial" w:hAnsi="Arial" w:cs="Arial"/>
          <w:sz w:val="22"/>
          <w:szCs w:val="22"/>
        </w:rPr>
        <w:tab/>
      </w:r>
      <w:r w:rsidR="00A76158" w:rsidRPr="00982CBF">
        <w:rPr>
          <w:sz w:val="22"/>
          <w:szCs w:val="22"/>
        </w:rPr>
        <w:tab/>
      </w:r>
      <w:r w:rsidR="00A76158" w:rsidRPr="00982CBF">
        <w:rPr>
          <w:sz w:val="22"/>
          <w:szCs w:val="22"/>
        </w:rPr>
        <w:tab/>
      </w:r>
      <w:r w:rsidR="00A76158" w:rsidRPr="00982CBF">
        <w:rPr>
          <w:sz w:val="22"/>
          <w:szCs w:val="22"/>
        </w:rPr>
        <w:tab/>
      </w:r>
      <w:r w:rsidR="008661F7">
        <w:rPr>
          <w:rFonts w:ascii="Arial" w:hAnsi="Arial" w:cs="Arial"/>
          <w:iCs/>
          <w:sz w:val="22"/>
          <w:szCs w:val="22"/>
        </w:rPr>
        <w:t>batavan</w:t>
      </w:r>
      <w:r w:rsidR="008661F7" w:rsidRPr="008661F7">
        <w:rPr>
          <w:rFonts w:ascii="Arial" w:hAnsi="Arial" w:cs="Arial"/>
          <w:iCs/>
          <w:color w:val="0000FF"/>
          <w:sz w:val="22"/>
          <w:szCs w:val="22"/>
          <w:u w:val="single"/>
        </w:rPr>
        <w:t>.</w:t>
      </w:r>
      <w:r w:rsidR="008661F7">
        <w:rPr>
          <w:rFonts w:ascii="Arial" w:hAnsi="Arial" w:cs="Arial"/>
          <w:iCs/>
          <w:color w:val="0000FF"/>
          <w:sz w:val="22"/>
          <w:szCs w:val="22"/>
          <w:u w:val="single"/>
        </w:rPr>
        <w:t>batavan.</w:t>
      </w:r>
      <w:r w:rsidR="008661F7" w:rsidRPr="008661F7">
        <w:rPr>
          <w:rFonts w:ascii="Arial" w:hAnsi="Arial" w:cs="Arial"/>
          <w:iCs/>
          <w:color w:val="0000FF"/>
          <w:sz w:val="22"/>
          <w:szCs w:val="22"/>
          <w:u w:val="single"/>
        </w:rPr>
        <w:t>cz</w:t>
      </w:r>
      <w:r w:rsidR="008661F7">
        <w:rPr>
          <w:rFonts w:ascii="Arial" w:hAnsi="Arial" w:cs="Arial"/>
          <w:iCs/>
          <w:color w:val="0000FF"/>
          <w:sz w:val="22"/>
          <w:szCs w:val="22"/>
          <w:u w:val="single"/>
        </w:rPr>
        <w:t>, distribuce@batavan.cz</w:t>
      </w:r>
      <w:r w:rsidR="004808BE" w:rsidRPr="00982CBF">
        <w:rPr>
          <w:sz w:val="22"/>
          <w:szCs w:val="22"/>
        </w:rPr>
        <w:br/>
      </w:r>
      <w:r w:rsidR="004808BE" w:rsidRPr="00982CBF">
        <w:rPr>
          <w:sz w:val="22"/>
          <w:szCs w:val="22"/>
        </w:rPr>
        <w:tab/>
      </w:r>
      <w:r w:rsidR="004808BE" w:rsidRPr="0051411B">
        <w:rPr>
          <w:rFonts w:ascii="Arial" w:hAnsi="Arial" w:cs="Arial"/>
          <w:sz w:val="22"/>
          <w:szCs w:val="22"/>
        </w:rPr>
        <w:tab/>
      </w:r>
      <w:r w:rsidR="004808BE" w:rsidRPr="0051411B">
        <w:rPr>
          <w:rFonts w:ascii="Arial" w:hAnsi="Arial" w:cs="Arial"/>
          <w:sz w:val="22"/>
          <w:szCs w:val="22"/>
        </w:rPr>
        <w:tab/>
      </w:r>
      <w:r w:rsidR="004808BE" w:rsidRPr="0051411B">
        <w:rPr>
          <w:rFonts w:ascii="Arial" w:hAnsi="Arial" w:cs="Arial"/>
          <w:sz w:val="22"/>
          <w:szCs w:val="22"/>
        </w:rPr>
        <w:tab/>
      </w:r>
      <w:r w:rsidR="004808BE" w:rsidRPr="0051411B">
        <w:rPr>
          <w:rFonts w:ascii="Arial" w:hAnsi="Arial" w:cs="Arial"/>
          <w:sz w:val="22"/>
          <w:szCs w:val="22"/>
        </w:rPr>
        <w:tab/>
      </w:r>
      <w:r w:rsidR="00BC7AB6" w:rsidRPr="008661F7">
        <w:rPr>
          <w:rFonts w:ascii="Arial" w:hAnsi="Arial" w:cs="Arial"/>
          <w:sz w:val="22"/>
          <w:szCs w:val="22"/>
        </w:rPr>
        <w:t xml:space="preserve">            </w:t>
      </w:r>
      <w:hyperlink r:id="rId8" w:history="1">
        <w:r w:rsidR="008661F7" w:rsidRPr="008661F7">
          <w:rPr>
            <w:rStyle w:val="Hypertextovodkaz"/>
            <w:rFonts w:ascii="Arial" w:hAnsi="Arial" w:cs="Arial"/>
            <w:sz w:val="22"/>
            <w:szCs w:val="22"/>
          </w:rPr>
          <w:t>www.batavan.cz</w:t>
        </w:r>
      </w:hyperlink>
      <w:r w:rsidR="008661F7" w:rsidRPr="008661F7">
        <w:rPr>
          <w:rFonts w:ascii="Arial" w:hAnsi="Arial" w:cs="Arial"/>
          <w:sz w:val="22"/>
          <w:szCs w:val="22"/>
        </w:rPr>
        <w:t xml:space="preserve">, </w:t>
      </w:r>
      <w:r w:rsidR="008661F7" w:rsidRPr="008661F7">
        <w:rPr>
          <w:rFonts w:ascii="Arial" w:hAnsi="Arial" w:cs="Arial"/>
          <w:iCs/>
          <w:color w:val="000000"/>
          <w:sz w:val="22"/>
          <w:szCs w:val="22"/>
        </w:rPr>
        <w:t>www: batavan.com</w:t>
      </w:r>
    </w:p>
    <w:p w:rsidR="00D932FC" w:rsidRPr="008661F7" w:rsidRDefault="00D932FC" w:rsidP="0051411B">
      <w:pPr>
        <w:pStyle w:val="Normlnweb"/>
        <w:spacing w:after="0"/>
      </w:pPr>
    </w:p>
    <w:p w:rsidR="00BC7AB6" w:rsidRDefault="00BC7AB6" w:rsidP="00BC7AB6">
      <w:r>
        <w:rPr>
          <w:b/>
        </w:rPr>
        <w:t xml:space="preserve">                </w:t>
      </w:r>
      <w:r w:rsidRPr="00BC7AB6">
        <w:rPr>
          <w:b/>
        </w:rPr>
        <w:t>Adresa elektronické pošty odborně způsobilé osoby</w:t>
      </w:r>
      <w:r w:rsidR="008661F7">
        <w:t xml:space="preserve"> :       David Tomášek</w:t>
      </w:r>
    </w:p>
    <w:p w:rsidR="00EC6572" w:rsidRPr="00EC6572" w:rsidRDefault="00BC7AB6" w:rsidP="00EC6572">
      <w:pPr>
        <w:ind w:left="4254" w:hanging="3232"/>
      </w:pPr>
      <w:r>
        <w:t xml:space="preserve">                                                                            </w:t>
      </w:r>
      <w:r w:rsidR="00AB59C5">
        <w:t xml:space="preserve">                      quartis@quartis</w:t>
      </w:r>
      <w:r>
        <w:t>.cz</w:t>
      </w:r>
      <w:r w:rsidR="00EC6572">
        <w:br/>
      </w:r>
    </w:p>
    <w:p w:rsidR="00F23B39" w:rsidRDefault="00D932FC" w:rsidP="002E304D">
      <w:pPr>
        <w:pStyle w:val="Nadpis2"/>
      </w:pPr>
      <w:r w:rsidRPr="00BC7AB6">
        <w:rPr>
          <w:b/>
        </w:rPr>
        <w:t>Telefon pro naléhavé situace při ohrožení života a zdraví (ČR):</w:t>
      </w:r>
      <w:r>
        <w:br/>
        <w:t>Telefon:</w:t>
      </w:r>
      <w:r>
        <w:tab/>
      </w:r>
      <w:r w:rsidRPr="00D932FC">
        <w:t>224 919</w:t>
      </w:r>
      <w:r w:rsidR="0036160B">
        <w:t> 293 nebo 224 915 402</w:t>
      </w:r>
    </w:p>
    <w:p w:rsidR="00F23B39" w:rsidRPr="00F23B39" w:rsidRDefault="00BC7AB6" w:rsidP="004808BE">
      <w:pPr>
        <w:ind w:left="850"/>
      </w:pPr>
      <w:r>
        <w:t xml:space="preserve">  </w:t>
      </w:r>
      <w:r w:rsidR="00F23B39">
        <w:t>Klinika nemocí z povolání, Toxikologické informační středisko (TIS)</w:t>
      </w:r>
      <w:r w:rsidR="004808BE">
        <w:br/>
      </w:r>
      <w:r>
        <w:t xml:space="preserve">  </w:t>
      </w:r>
      <w:r w:rsidR="0036160B">
        <w:t xml:space="preserve">Na Bojišti 1, 120 </w:t>
      </w:r>
      <w:r w:rsidR="00F23B39">
        <w:t>00 Praha 2</w:t>
      </w:r>
      <w:r w:rsidR="00FF05E2">
        <w:br/>
      </w:r>
    </w:p>
    <w:p w:rsidR="00855488" w:rsidRDefault="00732EF0" w:rsidP="004808BE">
      <w:pPr>
        <w:pStyle w:val="Nadpis1"/>
      </w:pPr>
      <w:r>
        <w:t>Identifikace nebezpečnosti</w:t>
      </w:r>
    </w:p>
    <w:p w:rsidR="00FF05E2" w:rsidRPr="007D2BAC" w:rsidRDefault="00C74239" w:rsidP="00FF05E2">
      <w:pPr>
        <w:pStyle w:val="Nadpis2"/>
        <w:rPr>
          <w:b/>
          <w:sz w:val="24"/>
          <w:szCs w:val="24"/>
        </w:rPr>
      </w:pPr>
      <w:r w:rsidRPr="007D2BAC">
        <w:rPr>
          <w:b/>
          <w:sz w:val="24"/>
          <w:szCs w:val="24"/>
        </w:rPr>
        <w:t>Klasifikace látky nebo směsi</w:t>
      </w:r>
    </w:p>
    <w:p w:rsidR="007D2BAC" w:rsidRDefault="002529C8" w:rsidP="00E86A87">
      <w:pPr>
        <w:pStyle w:val="Nadpis2"/>
        <w:numPr>
          <w:ilvl w:val="0"/>
          <w:numId w:val="0"/>
        </w:numPr>
        <w:ind w:left="850"/>
      </w:pPr>
      <w:r>
        <w:rPr>
          <w:b/>
        </w:rPr>
        <w:t>CLP Nařízení (ES) č.</w:t>
      </w:r>
      <w:r w:rsidR="00E86A87" w:rsidRPr="00E86A87">
        <w:rPr>
          <w:b/>
        </w:rPr>
        <w:t xml:space="preserve"> 1272/2008:</w:t>
      </w:r>
      <w:r w:rsidR="00E86A87">
        <w:rPr>
          <w:b/>
        </w:rPr>
        <w:br/>
      </w:r>
      <w:r>
        <w:t>Směs není klasifikována jako nebezpečná podle nařízení CLP (ES) č.</w:t>
      </w:r>
      <w:r w:rsidR="00DC6736" w:rsidRPr="00DC6736">
        <w:t>1272/2008.</w:t>
      </w:r>
    </w:p>
    <w:p w:rsidR="008E0F99" w:rsidRPr="008E0F99" w:rsidRDefault="00DC6736" w:rsidP="008E0F99">
      <w:pPr>
        <w:pStyle w:val="Nadpis2"/>
        <w:rPr>
          <w:b/>
          <w:szCs w:val="22"/>
        </w:rPr>
      </w:pPr>
      <w:r w:rsidRPr="007D2BAC">
        <w:rPr>
          <w:b/>
          <w:sz w:val="24"/>
          <w:szCs w:val="24"/>
        </w:rPr>
        <w:lastRenderedPageBreak/>
        <w:t>Prvky označení</w:t>
      </w:r>
      <w:r>
        <w:rPr>
          <w:sz w:val="24"/>
          <w:szCs w:val="24"/>
        </w:rPr>
        <w:br/>
      </w:r>
      <w:r w:rsidRPr="00DC6736">
        <w:rPr>
          <w:b/>
          <w:szCs w:val="22"/>
        </w:rPr>
        <w:t>CLP Nařízení (ES) nº 1272/2008:</w:t>
      </w:r>
    </w:p>
    <w:p w:rsidR="008E0F99" w:rsidRPr="008E0F99" w:rsidRDefault="005B7965" w:rsidP="005B7965">
      <w:pPr>
        <w:ind w:left="1022"/>
      </w:pPr>
      <w:r>
        <w:t>Nejsou.</w:t>
      </w:r>
    </w:p>
    <w:p w:rsidR="00DE3A2A" w:rsidRDefault="00AB59C5" w:rsidP="00DC6736">
      <w:pPr>
        <w:pStyle w:val="Nadpis2"/>
        <w:numPr>
          <w:ilvl w:val="0"/>
          <w:numId w:val="0"/>
        </w:numPr>
        <w:ind w:left="850"/>
        <w:rPr>
          <w:szCs w:val="22"/>
        </w:rPr>
      </w:pPr>
      <w:r>
        <w:rPr>
          <w:b/>
          <w:sz w:val="24"/>
          <w:szCs w:val="24"/>
        </w:rPr>
        <w:t xml:space="preserve"> </w:t>
      </w:r>
      <w:r w:rsidR="007F085B" w:rsidRPr="007F085B">
        <w:rPr>
          <w:b/>
          <w:sz w:val="24"/>
          <w:szCs w:val="24"/>
        </w:rPr>
        <w:t>Standardní věty o nebezpečnosti:</w:t>
      </w:r>
    </w:p>
    <w:p w:rsidR="005B7965" w:rsidRPr="005B7965" w:rsidRDefault="005B7965" w:rsidP="005B7965">
      <w:r>
        <w:t xml:space="preserve">                Nejsou.</w:t>
      </w:r>
    </w:p>
    <w:p w:rsidR="005B7965" w:rsidRPr="00AB59C5" w:rsidRDefault="00AB59C5" w:rsidP="00AB59C5">
      <w:pPr>
        <w:pStyle w:val="Nadpis2"/>
        <w:numPr>
          <w:ilvl w:val="0"/>
          <w:numId w:val="0"/>
        </w:numPr>
        <w:ind w:left="850"/>
      </w:pPr>
      <w:r>
        <w:rPr>
          <w:b/>
          <w:sz w:val="24"/>
          <w:szCs w:val="24"/>
        </w:rPr>
        <w:t xml:space="preserve"> </w:t>
      </w:r>
      <w:r w:rsidR="00DE3A2A" w:rsidRPr="00DE3A2A">
        <w:rPr>
          <w:b/>
          <w:sz w:val="24"/>
          <w:szCs w:val="24"/>
        </w:rPr>
        <w:t>Pokyny pro bezpečné zacházení</w:t>
      </w:r>
      <w:r w:rsidR="00DE3A2A" w:rsidRPr="00DE3A2A">
        <w:t>:</w:t>
      </w:r>
      <w:r w:rsidR="005B7965">
        <w:br/>
      </w:r>
      <w:r w:rsidR="00DE3A2A">
        <w:br/>
      </w:r>
      <w:r>
        <w:t xml:space="preserve"> </w:t>
      </w:r>
      <w:r w:rsidR="00827D14">
        <w:t>P102:</w:t>
      </w:r>
      <w:r w:rsidR="00DE3A2A">
        <w:t xml:space="preserve">  </w:t>
      </w:r>
      <w:r>
        <w:t>Uchovávejte mimo dosah dětí.</w:t>
      </w:r>
    </w:p>
    <w:p w:rsidR="00AB59C5" w:rsidRDefault="00AB59C5" w:rsidP="005B7965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       Doplňující údaje :</w:t>
      </w:r>
    </w:p>
    <w:p w:rsidR="00AB59C5" w:rsidRPr="0079644E" w:rsidRDefault="00AB59C5" w:rsidP="005B7965">
      <w:pPr>
        <w:rPr>
          <w:rFonts w:eastAsia="Times New Roman"/>
          <w:i/>
          <w:color w:val="000000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      Doplňková věta </w:t>
      </w:r>
      <w:r w:rsidRPr="00AB59C5">
        <w:rPr>
          <w:rFonts w:eastAsia="Times New Roman"/>
          <w:color w:val="000000"/>
        </w:rPr>
        <w:t xml:space="preserve">:   </w:t>
      </w:r>
      <w:r w:rsidRPr="0079644E">
        <w:rPr>
          <w:rFonts w:eastAsia="Times New Roman"/>
          <w:i/>
          <w:color w:val="000000"/>
        </w:rPr>
        <w:t>EUH 208 – Obsahuje benzylsalicylát. Může vyvolat alergickou reakci.</w:t>
      </w:r>
    </w:p>
    <w:p w:rsidR="00AB59C5" w:rsidRPr="00AB59C5" w:rsidRDefault="00AB59C5" w:rsidP="00AB59C5">
      <w:pPr>
        <w:pStyle w:val="Normlnweb"/>
        <w:spacing w:before="0" w:beforeAutospacing="0" w:after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</w:t>
      </w:r>
      <w:r w:rsidR="005B7965" w:rsidRPr="005B7965">
        <w:rPr>
          <w:rFonts w:ascii="Arial" w:hAnsi="Arial" w:cs="Arial"/>
          <w:iCs/>
          <w:sz w:val="22"/>
          <w:szCs w:val="22"/>
        </w:rPr>
        <w:t>Obsahuje :</w:t>
      </w:r>
      <w:r w:rsidR="005B7965" w:rsidRPr="005B7965">
        <w:rPr>
          <w:rFonts w:ascii="Arial" w:hAnsi="Arial" w:cs="Arial"/>
          <w:b/>
          <w:bCs/>
          <w:iCs/>
          <w:sz w:val="22"/>
          <w:szCs w:val="22"/>
        </w:rPr>
        <w:t xml:space="preserve">    </w:t>
      </w:r>
      <w:r>
        <w:rPr>
          <w:rFonts w:ascii="Arial" w:hAnsi="Arial" w:cs="Arial"/>
          <w:i/>
          <w:iCs/>
          <w:sz w:val="22"/>
          <w:szCs w:val="22"/>
          <w:lang w:val="en-US"/>
        </w:rPr>
        <w:t>přírodní zeolit, parfém.</w:t>
      </w:r>
    </w:p>
    <w:p w:rsidR="005B7965" w:rsidRPr="005B7965" w:rsidRDefault="005B7965" w:rsidP="005B7965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631C" w:rsidRDefault="005F631C" w:rsidP="005B7965">
      <w:pPr>
        <w:pStyle w:val="Nadpis2"/>
        <w:numPr>
          <w:ilvl w:val="0"/>
          <w:numId w:val="0"/>
        </w:numPr>
        <w:spacing w:before="0"/>
      </w:pPr>
    </w:p>
    <w:p w:rsidR="0001425A" w:rsidRPr="00D95D16" w:rsidRDefault="00D95D16" w:rsidP="00D95D16">
      <w:pPr>
        <w:pStyle w:val="Nadpis2"/>
        <w:rPr>
          <w:b/>
          <w:sz w:val="24"/>
          <w:szCs w:val="24"/>
        </w:rPr>
      </w:pPr>
      <w:r w:rsidRPr="00D95D16">
        <w:rPr>
          <w:b/>
          <w:sz w:val="24"/>
          <w:szCs w:val="24"/>
        </w:rPr>
        <w:t>Další nebezpečnost:</w:t>
      </w:r>
      <w:r>
        <w:rPr>
          <w:b/>
          <w:sz w:val="24"/>
          <w:szCs w:val="24"/>
        </w:rPr>
        <w:br/>
      </w:r>
      <w:r w:rsidR="005B7965">
        <w:rPr>
          <w:szCs w:val="22"/>
        </w:rPr>
        <w:t>směs neobsahuje látky splňující kritéria pro látky PBT nebo vPvB.</w:t>
      </w:r>
      <w:r w:rsidR="00FF05E2" w:rsidRPr="00D95D16">
        <w:rPr>
          <w:b/>
          <w:sz w:val="24"/>
          <w:szCs w:val="24"/>
        </w:rPr>
        <w:br/>
      </w:r>
    </w:p>
    <w:p w:rsidR="00855488" w:rsidRPr="00855488" w:rsidRDefault="003F1A5E" w:rsidP="003F1A5E">
      <w:pPr>
        <w:pStyle w:val="Nadpis1"/>
      </w:pPr>
      <w:r w:rsidRPr="003F1A5E">
        <w:t>Složení / informace o složkách</w:t>
      </w:r>
    </w:p>
    <w:p w:rsidR="009E5171" w:rsidRPr="009E5171" w:rsidRDefault="009E5171" w:rsidP="007F2837">
      <w:pPr>
        <w:pStyle w:val="Nadpis2"/>
        <w:rPr>
          <w:szCs w:val="22"/>
        </w:rPr>
      </w:pPr>
      <w:r>
        <w:rPr>
          <w:b/>
          <w:sz w:val="24"/>
          <w:szCs w:val="24"/>
        </w:rPr>
        <w:t xml:space="preserve">Látky : </w:t>
      </w:r>
      <w:r w:rsidRPr="009E5171">
        <w:rPr>
          <w:sz w:val="24"/>
          <w:szCs w:val="24"/>
        </w:rPr>
        <w:t>není relevantní</w:t>
      </w:r>
    </w:p>
    <w:p w:rsidR="009E5171" w:rsidRPr="009E5171" w:rsidRDefault="009E5171" w:rsidP="007F2837">
      <w:pPr>
        <w:pStyle w:val="Nadpis2"/>
        <w:rPr>
          <w:szCs w:val="22"/>
        </w:rPr>
      </w:pPr>
      <w:r>
        <w:rPr>
          <w:b/>
          <w:sz w:val="24"/>
          <w:szCs w:val="24"/>
        </w:rPr>
        <w:t>Směsi :</w:t>
      </w:r>
    </w:p>
    <w:p w:rsidR="003171FE" w:rsidRPr="009E5171" w:rsidRDefault="005B7965" w:rsidP="009E5171">
      <w:pPr>
        <w:pStyle w:val="Nadpis2"/>
        <w:numPr>
          <w:ilvl w:val="0"/>
          <w:numId w:val="0"/>
        </w:numPr>
        <w:ind w:left="1022"/>
        <w:rPr>
          <w:szCs w:val="22"/>
        </w:rPr>
      </w:pPr>
      <w:r>
        <w:rPr>
          <w:b/>
          <w:sz w:val="24"/>
          <w:szCs w:val="24"/>
        </w:rPr>
        <w:t>Chemický charakteristika</w:t>
      </w:r>
      <w:r w:rsidR="009E5171">
        <w:rPr>
          <w:b/>
          <w:sz w:val="24"/>
          <w:szCs w:val="24"/>
        </w:rPr>
        <w:t xml:space="preserve"> směsi</w:t>
      </w:r>
      <w:r w:rsidR="00DA49F8" w:rsidRPr="00DA49F8">
        <w:rPr>
          <w:b/>
          <w:sz w:val="24"/>
          <w:szCs w:val="24"/>
        </w:rPr>
        <w:t>:</w:t>
      </w:r>
      <w:r w:rsidR="007F2837">
        <w:rPr>
          <w:b/>
          <w:sz w:val="24"/>
          <w:szCs w:val="24"/>
        </w:rPr>
        <w:tab/>
      </w:r>
      <w:r w:rsidR="007F2837" w:rsidRPr="007F2837">
        <w:rPr>
          <w:szCs w:val="22"/>
        </w:rPr>
        <w:t>Směs skl</w:t>
      </w:r>
      <w:r w:rsidR="00AB59C5">
        <w:rPr>
          <w:szCs w:val="22"/>
        </w:rPr>
        <w:t>ádající se z minerání látky (zeolitu) a parfému.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3544"/>
        <w:gridCol w:w="1377"/>
      </w:tblGrid>
      <w:tr w:rsidR="009F2EC9" w:rsidRPr="002142C0" w:rsidTr="002B197F">
        <w:tc>
          <w:tcPr>
            <w:tcW w:w="2552" w:type="dxa"/>
            <w:shd w:val="clear" w:color="auto" w:fill="9CC2E5"/>
          </w:tcPr>
          <w:p w:rsidR="003171FE" w:rsidRPr="002142C0" w:rsidRDefault="004D56A4" w:rsidP="002B197F">
            <w:pPr>
              <w:spacing w:after="0" w:line="240" w:lineRule="auto"/>
              <w:rPr>
                <w:rFonts w:cs="Arial"/>
                <w:sz w:val="20"/>
                <w:szCs w:val="20"/>
                <w:highlight w:val="cyan"/>
              </w:rPr>
            </w:pPr>
            <w:r w:rsidRPr="002142C0">
              <w:rPr>
                <w:rFonts w:cs="Arial"/>
                <w:sz w:val="20"/>
                <w:szCs w:val="20"/>
              </w:rPr>
              <w:t>Identifikace</w:t>
            </w:r>
          </w:p>
        </w:tc>
        <w:tc>
          <w:tcPr>
            <w:tcW w:w="5812" w:type="dxa"/>
            <w:gridSpan w:val="2"/>
            <w:shd w:val="clear" w:color="auto" w:fill="9CC2E5"/>
          </w:tcPr>
          <w:p w:rsidR="003171FE" w:rsidRPr="002142C0" w:rsidRDefault="004D56A4" w:rsidP="002B197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cyan"/>
              </w:rPr>
            </w:pPr>
            <w:r w:rsidRPr="002142C0">
              <w:rPr>
                <w:rFonts w:cs="Arial"/>
                <w:sz w:val="20"/>
                <w:szCs w:val="20"/>
              </w:rPr>
              <w:t>Chemický název / Klasifikace</w:t>
            </w:r>
          </w:p>
        </w:tc>
        <w:tc>
          <w:tcPr>
            <w:tcW w:w="1377" w:type="dxa"/>
            <w:shd w:val="clear" w:color="auto" w:fill="9CC2E5"/>
          </w:tcPr>
          <w:p w:rsidR="003171FE" w:rsidRPr="002142C0" w:rsidRDefault="004D56A4" w:rsidP="002B197F">
            <w:pPr>
              <w:spacing w:after="0" w:line="240" w:lineRule="auto"/>
              <w:rPr>
                <w:rFonts w:cs="Arial"/>
                <w:sz w:val="20"/>
                <w:szCs w:val="20"/>
                <w:highlight w:val="cyan"/>
              </w:rPr>
            </w:pPr>
            <w:r w:rsidRPr="002142C0">
              <w:rPr>
                <w:rFonts w:cs="Arial"/>
                <w:sz w:val="20"/>
                <w:szCs w:val="20"/>
              </w:rPr>
              <w:t>Koncentrace</w:t>
            </w:r>
          </w:p>
        </w:tc>
      </w:tr>
      <w:tr w:rsidR="007B0C13" w:rsidRPr="002142C0" w:rsidTr="0033271A">
        <w:tc>
          <w:tcPr>
            <w:tcW w:w="2552" w:type="dxa"/>
            <w:vMerge w:val="restart"/>
            <w:shd w:val="clear" w:color="auto" w:fill="auto"/>
          </w:tcPr>
          <w:p w:rsidR="007B0C13" w:rsidRPr="002142C0" w:rsidRDefault="00522C9E" w:rsidP="002B19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5B46">
              <w:rPr>
                <w:rFonts w:cs="Arial"/>
                <w:sz w:val="20"/>
                <w:szCs w:val="20"/>
              </w:rPr>
              <w:t>CAS</w:t>
            </w:r>
            <w:r w:rsidRPr="004115B1">
              <w:rPr>
                <w:rFonts w:cs="Arial"/>
                <w:sz w:val="20"/>
                <w:szCs w:val="20"/>
              </w:rPr>
              <w:t xml:space="preserve">: </w:t>
            </w:r>
            <w:r w:rsidR="004115B1" w:rsidRPr="004115B1">
              <w:rPr>
                <w:rFonts w:cs="Arial"/>
                <w:sz w:val="20"/>
                <w:szCs w:val="20"/>
              </w:rPr>
              <w:t xml:space="preserve"> </w:t>
            </w:r>
            <w:r w:rsidR="004115B1" w:rsidRPr="004115B1">
              <w:rPr>
                <w:rFonts w:cs="Arial"/>
                <w:sz w:val="20"/>
                <w:szCs w:val="20"/>
                <w:lang w:eastAsia="cs-CZ"/>
              </w:rPr>
              <w:t>1318-02-1</w:t>
            </w:r>
            <w:r w:rsidRPr="004115B1">
              <w:rPr>
                <w:rFonts w:cs="Arial"/>
                <w:sz w:val="20"/>
                <w:szCs w:val="20"/>
              </w:rPr>
              <w:br/>
              <w:t>EC:</w:t>
            </w:r>
            <w:r w:rsidR="002D5BE7" w:rsidRPr="004115B1">
              <w:rPr>
                <w:rFonts w:cs="Arial"/>
                <w:sz w:val="20"/>
                <w:szCs w:val="20"/>
              </w:rPr>
              <w:t xml:space="preserve"> </w:t>
            </w:r>
            <w:r w:rsidR="004115B1" w:rsidRPr="004115B1">
              <w:rPr>
                <w:rFonts w:cs="Arial"/>
                <w:sz w:val="20"/>
                <w:szCs w:val="20"/>
              </w:rPr>
              <w:t xml:space="preserve"> </w:t>
            </w:r>
            <w:r w:rsidR="004115B1" w:rsidRPr="004115B1">
              <w:rPr>
                <w:rFonts w:cs="Arial"/>
                <w:sz w:val="20"/>
                <w:szCs w:val="20"/>
                <w:lang w:eastAsia="cs-CZ"/>
              </w:rPr>
              <w:t>215-283-8</w:t>
            </w:r>
            <w:r w:rsidRPr="004115B1">
              <w:rPr>
                <w:rFonts w:cs="Arial"/>
                <w:sz w:val="20"/>
                <w:szCs w:val="20"/>
              </w:rPr>
              <w:br/>
            </w:r>
            <w:r w:rsidRPr="00FD5B46">
              <w:rPr>
                <w:rFonts w:cs="Arial"/>
                <w:sz w:val="20"/>
                <w:szCs w:val="20"/>
              </w:rPr>
              <w:t>Index:</w:t>
            </w:r>
            <w:r w:rsidR="009F7F91">
              <w:rPr>
                <w:rFonts w:cs="Arial"/>
                <w:sz w:val="20"/>
                <w:szCs w:val="20"/>
              </w:rPr>
              <w:t xml:space="preserve"> </w:t>
            </w:r>
            <w:r w:rsidR="009E5171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br/>
            </w:r>
            <w:r w:rsidRPr="00FD5B46">
              <w:rPr>
                <w:rFonts w:cs="Arial"/>
                <w:sz w:val="20"/>
                <w:szCs w:val="20"/>
              </w:rPr>
              <w:t>REACH: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E5171">
              <w:rPr>
                <w:rFonts w:cs="Arial"/>
                <w:sz w:val="20"/>
                <w:szCs w:val="20"/>
              </w:rPr>
              <w:t xml:space="preserve"> -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0C13" w:rsidRPr="004115B1" w:rsidRDefault="00AB59C5" w:rsidP="002B19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115B1">
              <w:rPr>
                <w:rFonts w:cs="Arial"/>
                <w:sz w:val="20"/>
                <w:szCs w:val="20"/>
                <w:lang w:eastAsia="cs-CZ"/>
              </w:rPr>
              <w:t>Křemičitan hlinito-sodný</w:t>
            </w:r>
            <w:r w:rsidR="002D5BE7" w:rsidRPr="004115B1">
              <w:rPr>
                <w:rFonts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7B0C13" w:rsidRPr="004115B1" w:rsidRDefault="004115B1" w:rsidP="003327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15B1">
              <w:rPr>
                <w:rFonts w:cs="Arial"/>
                <w:sz w:val="18"/>
                <w:szCs w:val="18"/>
              </w:rPr>
              <w:t>99,1</w:t>
            </w:r>
            <w:r w:rsidR="009F7F91" w:rsidRPr="004115B1">
              <w:rPr>
                <w:rFonts w:cs="Arial"/>
                <w:sz w:val="18"/>
                <w:szCs w:val="18"/>
              </w:rPr>
              <w:t xml:space="preserve"> - &lt;10</w:t>
            </w:r>
            <w:r w:rsidR="008C2A92" w:rsidRPr="004115B1">
              <w:rPr>
                <w:rFonts w:cs="Arial"/>
                <w:sz w:val="18"/>
                <w:szCs w:val="18"/>
              </w:rPr>
              <w:t>0</w:t>
            </w:r>
            <w:r w:rsidR="009F7F91" w:rsidRPr="004115B1">
              <w:rPr>
                <w:rFonts w:cs="Arial"/>
                <w:sz w:val="18"/>
                <w:szCs w:val="18"/>
              </w:rPr>
              <w:t xml:space="preserve"> %</w:t>
            </w:r>
          </w:p>
          <w:p w:rsidR="009E5171" w:rsidRDefault="009E5171" w:rsidP="0033271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E5171" w:rsidRDefault="009E5171" w:rsidP="0033271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E5171" w:rsidRPr="002142C0" w:rsidRDefault="009E5171" w:rsidP="0033271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2EC9" w:rsidRPr="002142C0" w:rsidTr="002B197F">
        <w:tc>
          <w:tcPr>
            <w:tcW w:w="2552" w:type="dxa"/>
            <w:vMerge/>
            <w:shd w:val="clear" w:color="auto" w:fill="auto"/>
          </w:tcPr>
          <w:p w:rsidR="007B0C13" w:rsidRPr="002142C0" w:rsidRDefault="007B0C13" w:rsidP="002B19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CC2E5"/>
          </w:tcPr>
          <w:p w:rsidR="007B0C13" w:rsidRPr="002142C0" w:rsidRDefault="0033271A" w:rsidP="002B19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42C0">
              <w:rPr>
                <w:rFonts w:cs="Arial"/>
                <w:sz w:val="20"/>
                <w:szCs w:val="20"/>
              </w:rPr>
              <w:t>Nařízení 1272/2008</w:t>
            </w:r>
          </w:p>
        </w:tc>
        <w:tc>
          <w:tcPr>
            <w:tcW w:w="3544" w:type="dxa"/>
            <w:shd w:val="clear" w:color="auto" w:fill="auto"/>
          </w:tcPr>
          <w:p w:rsidR="007B0C13" w:rsidRPr="002142C0" w:rsidRDefault="009E5171" w:rsidP="002B19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Není nebezpečnou směsí.</w:t>
            </w:r>
          </w:p>
        </w:tc>
        <w:tc>
          <w:tcPr>
            <w:tcW w:w="1377" w:type="dxa"/>
            <w:vMerge/>
            <w:shd w:val="clear" w:color="auto" w:fill="auto"/>
          </w:tcPr>
          <w:p w:rsidR="007B0C13" w:rsidRPr="002142C0" w:rsidRDefault="007B0C13" w:rsidP="002B19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34E87" w:rsidRPr="002142C0" w:rsidTr="0033271A">
        <w:tc>
          <w:tcPr>
            <w:tcW w:w="2552" w:type="dxa"/>
            <w:vMerge w:val="restart"/>
            <w:shd w:val="clear" w:color="auto" w:fill="auto"/>
          </w:tcPr>
          <w:p w:rsidR="00834E87" w:rsidRPr="00FD5B46" w:rsidRDefault="00834E87" w:rsidP="00834E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5B46">
              <w:rPr>
                <w:rFonts w:cs="Arial"/>
                <w:sz w:val="20"/>
                <w:szCs w:val="20"/>
              </w:rPr>
              <w:t>CAS: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A5AF6">
              <w:rPr>
                <w:rFonts w:cs="Arial"/>
                <w:sz w:val="20"/>
                <w:szCs w:val="20"/>
              </w:rPr>
              <w:t>118-58-1</w:t>
            </w:r>
            <w:r>
              <w:rPr>
                <w:rFonts w:cs="Arial"/>
                <w:sz w:val="20"/>
                <w:szCs w:val="20"/>
              </w:rPr>
              <w:br/>
            </w:r>
            <w:r w:rsidRPr="00FD5B46">
              <w:rPr>
                <w:rFonts w:cs="Arial"/>
                <w:sz w:val="20"/>
                <w:szCs w:val="20"/>
              </w:rPr>
              <w:t>EC: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E5171">
              <w:rPr>
                <w:rFonts w:cs="Arial"/>
                <w:sz w:val="20"/>
                <w:szCs w:val="20"/>
              </w:rPr>
              <w:t xml:space="preserve">   </w:t>
            </w:r>
            <w:r w:rsidR="009E5171">
              <w:rPr>
                <w:rFonts w:ascii="ArialNarrow" w:hAnsi="ArialNarrow" w:cs="ArialNarrow"/>
                <w:sz w:val="20"/>
                <w:szCs w:val="20"/>
                <w:lang w:eastAsia="cs-CZ"/>
              </w:rPr>
              <w:t>20</w:t>
            </w:r>
            <w:r w:rsidR="00BA5AF6">
              <w:rPr>
                <w:rFonts w:ascii="ArialNarrow" w:hAnsi="ArialNarrow" w:cs="ArialNarrow"/>
                <w:sz w:val="20"/>
                <w:szCs w:val="20"/>
                <w:lang w:eastAsia="cs-CZ"/>
              </w:rPr>
              <w:t>4-262-9</w:t>
            </w:r>
            <w:r>
              <w:rPr>
                <w:rFonts w:cs="Arial"/>
                <w:sz w:val="20"/>
                <w:szCs w:val="20"/>
              </w:rPr>
              <w:br/>
            </w:r>
            <w:r w:rsidRPr="00FD5B46">
              <w:rPr>
                <w:rFonts w:cs="Arial"/>
                <w:sz w:val="20"/>
                <w:szCs w:val="20"/>
              </w:rPr>
              <w:t>Index: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E5171">
              <w:rPr>
                <w:rFonts w:cs="Arial"/>
                <w:sz w:val="20"/>
                <w:szCs w:val="20"/>
              </w:rPr>
              <w:t>neuvedeno</w:t>
            </w:r>
            <w:r>
              <w:rPr>
                <w:rFonts w:cs="Arial"/>
                <w:sz w:val="20"/>
                <w:szCs w:val="20"/>
              </w:rPr>
              <w:br/>
            </w:r>
            <w:r w:rsidRPr="00FD5B46">
              <w:rPr>
                <w:rFonts w:cs="Arial"/>
                <w:sz w:val="20"/>
                <w:szCs w:val="20"/>
              </w:rPr>
              <w:lastRenderedPageBreak/>
              <w:t>REACH: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A5AF6">
              <w:rPr>
                <w:rFonts w:ascii="ArialNarrow" w:hAnsi="ArialNarrow" w:cs="ArialNarrow"/>
                <w:sz w:val="20"/>
                <w:szCs w:val="20"/>
                <w:lang w:eastAsia="cs-CZ"/>
              </w:rPr>
              <w:t>01-2119969442</w:t>
            </w:r>
            <w:r w:rsidR="009E5171">
              <w:rPr>
                <w:rFonts w:ascii="ArialNarrow" w:hAnsi="ArialNarrow" w:cs="ArialNarrow"/>
                <w:sz w:val="20"/>
                <w:szCs w:val="20"/>
                <w:lang w:eastAsia="cs-CZ"/>
              </w:rPr>
              <w:t>-</w:t>
            </w:r>
            <w:r w:rsidR="00BA5AF6">
              <w:rPr>
                <w:rFonts w:ascii="ArialNarrow" w:hAnsi="ArialNarrow" w:cs="ArialNarrow"/>
                <w:sz w:val="20"/>
                <w:szCs w:val="20"/>
                <w:lang w:eastAsia="cs-CZ"/>
              </w:rPr>
              <w:t>31-0000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34E87" w:rsidRPr="00BA5AF6" w:rsidRDefault="00BA5AF6" w:rsidP="00834E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5AF6">
              <w:rPr>
                <w:rFonts w:cs="Arial"/>
                <w:sz w:val="20"/>
                <w:szCs w:val="20"/>
                <w:lang w:eastAsia="cs-CZ"/>
              </w:rPr>
              <w:lastRenderedPageBreak/>
              <w:t>Benzylsalcylát</w:t>
            </w:r>
            <w:r w:rsidR="00834E87" w:rsidRPr="00BA5AF6">
              <w:rPr>
                <w:rFonts w:cs="Arial"/>
                <w:sz w:val="20"/>
                <w:szCs w:val="20"/>
              </w:rPr>
              <w:t xml:space="preserve">        </w:t>
            </w:r>
            <w:r w:rsidR="009E5171" w:rsidRPr="00BA5AF6">
              <w:rPr>
                <w:rFonts w:cs="Arial"/>
                <w:sz w:val="20"/>
                <w:szCs w:val="20"/>
              </w:rPr>
              <w:t xml:space="preserve">    </w:t>
            </w:r>
            <w:r w:rsidR="00834E87" w:rsidRPr="00BA5AF6">
              <w:rPr>
                <w:rFonts w:cs="Arial"/>
                <w:sz w:val="20"/>
                <w:szCs w:val="20"/>
              </w:rPr>
              <w:t xml:space="preserve">                                    </w:t>
            </w:r>
            <w:r w:rsidR="00812631" w:rsidRPr="00BA5AF6">
              <w:rPr>
                <w:rFonts w:cs="Arial"/>
                <w:sz w:val="20"/>
                <w:szCs w:val="20"/>
              </w:rPr>
              <w:t xml:space="preserve">  </w:t>
            </w:r>
            <w:r w:rsidR="00834E87" w:rsidRPr="00BA5AF6">
              <w:rPr>
                <w:rFonts w:cs="Arial"/>
                <w:sz w:val="20"/>
                <w:szCs w:val="20"/>
              </w:rPr>
              <w:t xml:space="preserve"> </w:t>
            </w:r>
            <w:r w:rsidR="002D5BE7" w:rsidRPr="00BA5AF6">
              <w:rPr>
                <w:rFonts w:cs="Arial"/>
                <w:sz w:val="20"/>
                <w:szCs w:val="20"/>
              </w:rPr>
              <w:t xml:space="preserve"> </w:t>
            </w:r>
            <w:r w:rsidR="00834E87" w:rsidRPr="00BA5AF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834E87" w:rsidRPr="009B28CD" w:rsidRDefault="00641FF4" w:rsidP="00834E8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0,1 - &lt;0,5</w:t>
            </w:r>
            <w:r w:rsidR="009F7F91" w:rsidRPr="009F7F91">
              <w:rPr>
                <w:rFonts w:cs="Arial"/>
                <w:sz w:val="20"/>
                <w:szCs w:val="20"/>
              </w:rPr>
              <w:t xml:space="preserve"> %</w:t>
            </w:r>
          </w:p>
        </w:tc>
      </w:tr>
      <w:tr w:rsidR="00834E87" w:rsidRPr="002142C0" w:rsidTr="00B22642">
        <w:tc>
          <w:tcPr>
            <w:tcW w:w="2552" w:type="dxa"/>
            <w:vMerge/>
            <w:shd w:val="clear" w:color="auto" w:fill="auto"/>
          </w:tcPr>
          <w:p w:rsidR="00834E87" w:rsidRPr="00FD5B46" w:rsidRDefault="00834E87" w:rsidP="00834E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834E87" w:rsidRPr="002142C0" w:rsidRDefault="00834E87" w:rsidP="00834E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42C0">
              <w:rPr>
                <w:rFonts w:cs="Arial"/>
                <w:sz w:val="20"/>
                <w:szCs w:val="20"/>
              </w:rPr>
              <w:t>Nařízení 1272/2008</w:t>
            </w:r>
          </w:p>
        </w:tc>
        <w:tc>
          <w:tcPr>
            <w:tcW w:w="3544" w:type="dxa"/>
            <w:shd w:val="clear" w:color="auto" w:fill="auto"/>
          </w:tcPr>
          <w:p w:rsidR="00834E87" w:rsidRPr="009B28CD" w:rsidRDefault="00BA5AF6" w:rsidP="00834E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Eye Irrit. 2</w:t>
            </w:r>
            <w:r w:rsidR="00641FF4">
              <w:rPr>
                <w:rFonts w:cs="Arial"/>
                <w:sz w:val="20"/>
                <w:szCs w:val="20"/>
              </w:rPr>
              <w:t xml:space="preserve">, </w:t>
            </w:r>
            <w:r w:rsidR="009E5171">
              <w:rPr>
                <w:rFonts w:ascii="ArialNarrow" w:hAnsi="ArialNarrow" w:cs="ArialNarrow"/>
                <w:sz w:val="20"/>
                <w:szCs w:val="20"/>
                <w:lang w:eastAsia="cs-CZ"/>
              </w:rPr>
              <w:t>H31</w:t>
            </w:r>
            <w:r>
              <w:rPr>
                <w:rFonts w:ascii="ArialNarrow" w:hAnsi="ArialNarrow" w:cs="ArialNarrow"/>
                <w:sz w:val="20"/>
                <w:szCs w:val="20"/>
                <w:lang w:eastAsia="cs-CZ"/>
              </w:rPr>
              <w:t xml:space="preserve">9, Skin.Sens.1 ‚H317, </w:t>
            </w:r>
            <w:r>
              <w:rPr>
                <w:rFonts w:ascii="ArialNarrow" w:hAnsi="ArialNarrow" w:cs="ArialNarrow"/>
                <w:sz w:val="20"/>
                <w:szCs w:val="20"/>
                <w:lang w:eastAsia="cs-CZ"/>
              </w:rPr>
              <w:lastRenderedPageBreak/>
              <w:t>Aqutic Chronic. H412</w:t>
            </w: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834E87" w:rsidRPr="009B28CD" w:rsidRDefault="00834E87" w:rsidP="00834E8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4262F" w:rsidRDefault="0004262F" w:rsidP="0004262F">
      <w:pPr>
        <w:pStyle w:val="Normlnweb"/>
        <w:spacing w:before="0" w:beforeAutospacing="0" w:after="0"/>
        <w:ind w:right="-425"/>
        <w:rPr>
          <w:rFonts w:ascii="Arial" w:hAnsi="Arial" w:cs="Arial"/>
          <w:i/>
          <w:iCs/>
          <w:sz w:val="20"/>
          <w:szCs w:val="20"/>
        </w:rPr>
      </w:pPr>
    </w:p>
    <w:p w:rsidR="0004262F" w:rsidRDefault="0004262F" w:rsidP="0004262F">
      <w:pPr>
        <w:pStyle w:val="Normlnweb"/>
        <w:spacing w:before="0" w:beforeAutospacing="0" w:after="0"/>
        <w:ind w:right="-425"/>
        <w:rPr>
          <w:rFonts w:ascii="Arial" w:hAnsi="Arial" w:cs="Arial"/>
          <w:i/>
          <w:iCs/>
          <w:sz w:val="20"/>
          <w:szCs w:val="20"/>
        </w:rPr>
      </w:pPr>
    </w:p>
    <w:p w:rsidR="0004262F" w:rsidRDefault="0004262F" w:rsidP="0004262F">
      <w:pPr>
        <w:pStyle w:val="Normlnweb"/>
        <w:spacing w:before="0" w:beforeAutospacing="0" w:after="0"/>
        <w:ind w:right="-425"/>
      </w:pPr>
      <w:r>
        <w:rPr>
          <w:rFonts w:ascii="Arial" w:hAnsi="Arial" w:cs="Arial"/>
          <w:i/>
          <w:iCs/>
          <w:sz w:val="20"/>
          <w:szCs w:val="20"/>
        </w:rPr>
        <w:t>Plné znění H- vět je uvedeno v kap.16, hodnoty expozičních limitů, pokud jsou stanoveny,jsou</w:t>
      </w:r>
    </w:p>
    <w:p w:rsidR="0004262F" w:rsidRDefault="0004262F" w:rsidP="0004262F">
      <w:pPr>
        <w:pStyle w:val="Normlnweb"/>
        <w:pBdr>
          <w:bottom w:val="single" w:sz="8" w:space="2" w:color="000000"/>
        </w:pBdr>
        <w:spacing w:before="0" w:beforeAutospacing="0" w:after="0"/>
        <w:ind w:right="-42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uvedeny v oddíle 8.</w:t>
      </w:r>
    </w:p>
    <w:p w:rsidR="0004262F" w:rsidRDefault="0004262F" w:rsidP="0004262F">
      <w:pPr>
        <w:pStyle w:val="Normlnweb"/>
        <w:pBdr>
          <w:bottom w:val="single" w:sz="8" w:space="2" w:color="000000"/>
        </w:pBdr>
        <w:spacing w:before="0" w:beforeAutospacing="0" w:after="0"/>
        <w:ind w:right="-425"/>
        <w:rPr>
          <w:rFonts w:ascii="Arial" w:hAnsi="Arial" w:cs="Arial"/>
          <w:i/>
          <w:iCs/>
          <w:sz w:val="20"/>
          <w:szCs w:val="20"/>
        </w:rPr>
      </w:pPr>
    </w:p>
    <w:p w:rsidR="00BF6D2E" w:rsidRPr="00BF6D2E" w:rsidRDefault="00066B91" w:rsidP="00066B91">
      <w:pPr>
        <w:pStyle w:val="Nadpis1"/>
      </w:pPr>
      <w:r w:rsidRPr="00066B91">
        <w:t>Pokyny pro první pomoc</w:t>
      </w:r>
    </w:p>
    <w:p w:rsidR="007616C6" w:rsidRDefault="00C112C9" w:rsidP="00893C1F">
      <w:pPr>
        <w:pStyle w:val="Nadpis2"/>
        <w:ind w:left="851"/>
      </w:pPr>
      <w:r w:rsidRPr="00C112C9">
        <w:rPr>
          <w:b/>
          <w:sz w:val="24"/>
          <w:szCs w:val="24"/>
        </w:rPr>
        <w:t>Popis první pomoci:</w:t>
      </w:r>
      <w:r>
        <w:rPr>
          <w:b/>
          <w:sz w:val="24"/>
          <w:szCs w:val="24"/>
        </w:rPr>
        <w:br/>
      </w:r>
      <w:r w:rsidRPr="00C112C9">
        <w:t xml:space="preserve">Příznaky vyplývající z intoxikace se mohou objevit po expozici, proto v případě </w:t>
      </w:r>
      <w:r w:rsidR="00F9591D">
        <w:t>pochybností</w:t>
      </w:r>
      <w:r w:rsidRPr="00C112C9">
        <w:t xml:space="preserve"> vyhledejte lé</w:t>
      </w:r>
      <w:r w:rsidR="00F9591D">
        <w:t>kařskou pomoc po přímé expozici</w:t>
      </w:r>
      <w:r w:rsidRPr="00C112C9">
        <w:t xml:space="preserve"> vůči c</w:t>
      </w:r>
      <w:r w:rsidR="00F9591D">
        <w:t xml:space="preserve">hemického přípravku nebo při trvalých </w:t>
      </w:r>
      <w:r w:rsidR="00E66C6C">
        <w:t>potížích. U</w:t>
      </w:r>
      <w:r w:rsidR="00F9591D">
        <w:t>kažte</w:t>
      </w:r>
      <w:r w:rsidRPr="00C112C9">
        <w:t xml:space="preserve"> bezpečnostní list tohoto produktu.</w:t>
      </w:r>
      <w:r w:rsidR="00F9591D">
        <w:br/>
      </w:r>
      <w:r w:rsidR="00F9591D">
        <w:br/>
      </w:r>
      <w:r w:rsidR="00F9591D">
        <w:rPr>
          <w:b/>
          <w:sz w:val="24"/>
          <w:szCs w:val="24"/>
        </w:rPr>
        <w:t>Při</w:t>
      </w:r>
      <w:r w:rsidR="00F9591D" w:rsidRPr="00F9591D">
        <w:rPr>
          <w:b/>
          <w:sz w:val="24"/>
          <w:szCs w:val="24"/>
        </w:rPr>
        <w:t xml:space="preserve"> nadýchání</w:t>
      </w:r>
      <w:r w:rsidR="00F9591D">
        <w:rPr>
          <w:b/>
          <w:sz w:val="24"/>
          <w:szCs w:val="24"/>
        </w:rPr>
        <w:t>:</w:t>
      </w:r>
      <w:r w:rsidR="00F9591D">
        <w:rPr>
          <w:b/>
          <w:sz w:val="24"/>
          <w:szCs w:val="24"/>
        </w:rPr>
        <w:br/>
      </w:r>
      <w:r w:rsidR="00057362">
        <w:t>Tento produkt neobsahuje látky</w:t>
      </w:r>
      <w:r w:rsidR="00B00D94">
        <w:t xml:space="preserve"> klasifikova</w:t>
      </w:r>
      <w:r w:rsidR="00F9591D" w:rsidRPr="00F9591D">
        <w:t>n</w:t>
      </w:r>
      <w:r w:rsidR="00B00D94">
        <w:t>é</w:t>
      </w:r>
      <w:r w:rsidR="00F9591D" w:rsidRPr="00F9591D">
        <w:t xml:space="preserve"> jako nebezp</w:t>
      </w:r>
      <w:r w:rsidR="002F4813">
        <w:t>ečné</w:t>
      </w:r>
      <w:r w:rsidR="007616C6">
        <w:t xml:space="preserve"> při vdechování, nicméně</w:t>
      </w:r>
      <w:r w:rsidR="00B00D94">
        <w:t xml:space="preserve"> v případě</w:t>
      </w:r>
      <w:r w:rsidR="00F9591D" w:rsidRPr="00F9591D">
        <w:t xml:space="preserve"> </w:t>
      </w:r>
      <w:r w:rsidR="007616C6">
        <w:t>příznaků intox</w:t>
      </w:r>
      <w:r w:rsidR="00B00D94">
        <w:t>ikace přesuňte</w:t>
      </w:r>
      <w:r w:rsidR="00F9591D" w:rsidRPr="00F9591D">
        <w:t xml:space="preserve"> postiženou osobu z </w:t>
      </w:r>
      <w:r w:rsidR="00057362">
        <w:t>oblasti expozice a</w:t>
      </w:r>
      <w:r w:rsidR="00B00D94">
        <w:t xml:space="preserve"> zajistěte</w:t>
      </w:r>
      <w:r w:rsidR="007616C6">
        <w:t xml:space="preserve"> </w:t>
      </w:r>
      <w:r w:rsidR="001E3B73">
        <w:t>přísun čerstvého</w:t>
      </w:r>
      <w:r w:rsidR="00B00D94">
        <w:t xml:space="preserve"> vzduch</w:t>
      </w:r>
      <w:r w:rsidR="001E3B73">
        <w:t>u</w:t>
      </w:r>
      <w:r w:rsidR="007616C6">
        <w:t>. Vyhledejte</w:t>
      </w:r>
      <w:r w:rsidR="00F9591D" w:rsidRPr="00F9591D">
        <w:t xml:space="preserve"> lékařskou pomoc, pokud příznaky přetrvávají.</w:t>
      </w:r>
    </w:p>
    <w:p w:rsidR="005B09CD" w:rsidRDefault="007616C6" w:rsidP="007616C6">
      <w:pPr>
        <w:pStyle w:val="Nadpis2"/>
        <w:numPr>
          <w:ilvl w:val="0"/>
          <w:numId w:val="0"/>
        </w:numPr>
        <w:ind w:left="850"/>
        <w:rPr>
          <w:szCs w:val="22"/>
        </w:rPr>
      </w:pPr>
      <w:r w:rsidRPr="007616C6">
        <w:rPr>
          <w:b/>
          <w:sz w:val="24"/>
          <w:szCs w:val="24"/>
        </w:rPr>
        <w:t>Při kontaktu s pokožkou:</w:t>
      </w:r>
      <w:r>
        <w:rPr>
          <w:b/>
          <w:sz w:val="24"/>
          <w:szCs w:val="24"/>
        </w:rPr>
        <w:br/>
      </w:r>
      <w:r w:rsidR="002D5BE7" w:rsidRPr="002D5BE7">
        <w:rPr>
          <w:szCs w:val="22"/>
        </w:rPr>
        <w:t>V případě kontaktu se doporučuje důkladně očistit postižené místo vodou a neutrálním mýdlem. V případě změn na pokožce (bodnutí, zarudnutí, vyrážky, puchýře, ...) vyhledejte lékařskou pomoc s tímto bezpečnostním listem</w:t>
      </w:r>
      <w:r w:rsidR="002D5BE7">
        <w:rPr>
          <w:szCs w:val="22"/>
        </w:rPr>
        <w:t>.</w:t>
      </w:r>
    </w:p>
    <w:p w:rsidR="005B09CD" w:rsidRDefault="005B09CD" w:rsidP="005B09CD">
      <w:pPr>
        <w:pStyle w:val="Nadpis2"/>
        <w:numPr>
          <w:ilvl w:val="0"/>
          <w:numId w:val="0"/>
        </w:numPr>
        <w:ind w:left="850"/>
        <w:rPr>
          <w:szCs w:val="22"/>
        </w:rPr>
      </w:pPr>
      <w:r w:rsidRPr="005B09CD">
        <w:rPr>
          <w:b/>
          <w:sz w:val="24"/>
          <w:szCs w:val="24"/>
        </w:rPr>
        <w:t>Při kontaktu s očima:</w:t>
      </w:r>
      <w:r>
        <w:rPr>
          <w:b/>
          <w:sz w:val="24"/>
          <w:szCs w:val="24"/>
        </w:rPr>
        <w:br/>
      </w:r>
      <w:r w:rsidR="00191659" w:rsidRPr="00191659">
        <w:rPr>
          <w:szCs w:val="22"/>
        </w:rPr>
        <w:t>Vypláchněte oči důkladně</w:t>
      </w:r>
      <w:r w:rsidR="002D4118">
        <w:rPr>
          <w:szCs w:val="22"/>
        </w:rPr>
        <w:t xml:space="preserve"> vlažnou</w:t>
      </w:r>
      <w:r w:rsidR="00191659" w:rsidRPr="00191659">
        <w:rPr>
          <w:szCs w:val="22"/>
        </w:rPr>
        <w:t xml:space="preserve"> vodou po dobu nejméně 15 minut.</w:t>
      </w:r>
      <w:r w:rsidR="002D4118">
        <w:rPr>
          <w:szCs w:val="22"/>
        </w:rPr>
        <w:t xml:space="preserve"> </w:t>
      </w:r>
      <w:r w:rsidR="00191659" w:rsidRPr="00191659">
        <w:rPr>
          <w:szCs w:val="22"/>
        </w:rPr>
        <w:t xml:space="preserve"> V případě, že zraněná osoba používá kontaktní čočky, </w:t>
      </w:r>
      <w:r w:rsidR="001E3B73">
        <w:rPr>
          <w:szCs w:val="22"/>
        </w:rPr>
        <w:t>neprodleně vyjměte. Vyhledejte lékaře a poskytněte mu informace z bezpečnostního listu.</w:t>
      </w:r>
      <w:r w:rsidR="00191659" w:rsidRPr="00191659">
        <w:rPr>
          <w:szCs w:val="22"/>
        </w:rPr>
        <w:t xml:space="preserve"> </w:t>
      </w:r>
    </w:p>
    <w:p w:rsidR="00C01A6A" w:rsidRDefault="00C01A6A" w:rsidP="00C01A6A">
      <w:pPr>
        <w:ind w:left="851"/>
      </w:pPr>
      <w:r w:rsidRPr="002B197F">
        <w:rPr>
          <w:rFonts w:eastAsia="Times New Roman"/>
          <w:b/>
          <w:color w:val="000000"/>
          <w:sz w:val="24"/>
          <w:szCs w:val="24"/>
        </w:rPr>
        <w:t>Při požití:</w:t>
      </w:r>
      <w:r w:rsidRPr="002B197F">
        <w:rPr>
          <w:rFonts w:eastAsia="Times New Roman"/>
          <w:b/>
          <w:color w:val="000000"/>
          <w:sz w:val="24"/>
          <w:szCs w:val="24"/>
        </w:rPr>
        <w:br/>
      </w:r>
      <w:r w:rsidR="005069AE" w:rsidRPr="005069AE">
        <w:t>Nevyvolávejte zvrace</w:t>
      </w:r>
      <w:r w:rsidR="001E3B73">
        <w:t>ní.</w:t>
      </w:r>
      <w:r w:rsidR="005069AE" w:rsidRPr="005069AE">
        <w:t xml:space="preserve"> Udržujte postiženou osobu v klid</w:t>
      </w:r>
      <w:r w:rsidR="001E3B73">
        <w:t>u. Vypláchněte ústa a hrdlo.</w:t>
      </w:r>
    </w:p>
    <w:p w:rsidR="00C01A6A" w:rsidRDefault="00C01A6A" w:rsidP="00C01A6A">
      <w:pPr>
        <w:pStyle w:val="Nadpis2"/>
      </w:pPr>
      <w:r w:rsidRPr="000676BE">
        <w:rPr>
          <w:b/>
          <w:sz w:val="24"/>
          <w:szCs w:val="24"/>
        </w:rPr>
        <w:t>Nejdůležitější symptomy a účinky, akutní a opožděné:</w:t>
      </w:r>
      <w:r>
        <w:rPr>
          <w:sz w:val="24"/>
          <w:szCs w:val="24"/>
        </w:rPr>
        <w:br/>
      </w:r>
      <w:r w:rsidRPr="00C01A6A">
        <w:t>Akutní a opožděné účinky</w:t>
      </w:r>
      <w:r w:rsidR="001E3B73">
        <w:t xml:space="preserve"> : neočekávají se.</w:t>
      </w:r>
    </w:p>
    <w:p w:rsidR="00C01A6A" w:rsidRPr="000676BE" w:rsidRDefault="000676BE" w:rsidP="000676BE">
      <w:pPr>
        <w:pStyle w:val="Nadpis2"/>
      </w:pPr>
      <w:r w:rsidRPr="000676BE">
        <w:rPr>
          <w:b/>
          <w:sz w:val="24"/>
          <w:szCs w:val="24"/>
        </w:rPr>
        <w:t>Pokyn týkající se okamžité lékařské pomoci a zvláštního ošetření</w:t>
      </w:r>
      <w:r w:rsidR="001E3B73">
        <w:t>:</w:t>
      </w:r>
      <w:r w:rsidR="001E3B73">
        <w:br/>
        <w:t>Léčba je symptomatická.</w:t>
      </w:r>
    </w:p>
    <w:p w:rsidR="005B09CD" w:rsidRPr="005B09CD" w:rsidRDefault="005B09CD" w:rsidP="005B09CD">
      <w:pPr>
        <w:ind w:left="851"/>
      </w:pPr>
    </w:p>
    <w:p w:rsidR="00BF6D2E" w:rsidRDefault="000676BE" w:rsidP="000676BE">
      <w:pPr>
        <w:pStyle w:val="Nadpis1"/>
      </w:pPr>
      <w:r w:rsidRPr="000676BE">
        <w:lastRenderedPageBreak/>
        <w:t>Opatření pro hašení požáru</w:t>
      </w:r>
    </w:p>
    <w:p w:rsidR="000E6787" w:rsidRPr="000E6787" w:rsidRDefault="001E3B73" w:rsidP="00893C1F">
      <w:pPr>
        <w:pStyle w:val="Nadpis2"/>
        <w:ind w:left="851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Hasiva</w:t>
      </w:r>
      <w:r w:rsidR="000676BE" w:rsidRPr="000676BE">
        <w:rPr>
          <w:b/>
          <w:sz w:val="24"/>
          <w:szCs w:val="24"/>
        </w:rPr>
        <w:t>:</w:t>
      </w:r>
      <w:r w:rsidR="000676BE">
        <w:rPr>
          <w:b/>
          <w:sz w:val="24"/>
          <w:szCs w:val="24"/>
        </w:rPr>
        <w:br/>
      </w:r>
      <w:r w:rsidR="000E6787">
        <w:rPr>
          <w:szCs w:val="22"/>
        </w:rPr>
        <w:t xml:space="preserve">Vhodná hasiva : </w:t>
      </w:r>
      <w:r w:rsidR="00A46D07" w:rsidRPr="00A46D07">
        <w:rPr>
          <w:szCs w:val="22"/>
        </w:rPr>
        <w:t>Pokud je to možné</w:t>
      </w:r>
      <w:r w:rsidR="000E6787">
        <w:rPr>
          <w:szCs w:val="22"/>
        </w:rPr>
        <w:t xml:space="preserve">, použijte </w:t>
      </w:r>
      <w:r w:rsidR="00A46D07" w:rsidRPr="00A46D07">
        <w:rPr>
          <w:szCs w:val="22"/>
        </w:rPr>
        <w:t xml:space="preserve">práškové hasicí přístroje (ABC prášek), alternativně použijte pěny nebo hasicí přístroje na bázi oxidu </w:t>
      </w:r>
      <w:r w:rsidR="00A46D07">
        <w:rPr>
          <w:szCs w:val="22"/>
        </w:rPr>
        <w:t>uhličitého (CO2).</w:t>
      </w:r>
    </w:p>
    <w:p w:rsidR="004C0EC8" w:rsidRPr="004C0EC8" w:rsidRDefault="00A46D07" w:rsidP="000E6787">
      <w:pPr>
        <w:pStyle w:val="Nadpis2"/>
        <w:numPr>
          <w:ilvl w:val="0"/>
          <w:numId w:val="0"/>
        </w:numPr>
        <w:ind w:left="851"/>
        <w:rPr>
          <w:b/>
          <w:sz w:val="24"/>
          <w:szCs w:val="24"/>
        </w:rPr>
      </w:pPr>
      <w:r>
        <w:rPr>
          <w:szCs w:val="22"/>
        </w:rPr>
        <w:t xml:space="preserve"> </w:t>
      </w:r>
      <w:r w:rsidR="000E6787">
        <w:rPr>
          <w:szCs w:val="22"/>
        </w:rPr>
        <w:t xml:space="preserve">Nevhodná hasiva : </w:t>
      </w:r>
      <w:r>
        <w:rPr>
          <w:szCs w:val="22"/>
        </w:rPr>
        <w:t>n</w:t>
      </w:r>
      <w:r w:rsidRPr="00A46D07">
        <w:rPr>
          <w:szCs w:val="22"/>
        </w:rPr>
        <w:t xml:space="preserve">epoužívat </w:t>
      </w:r>
      <w:r w:rsidR="000E6787">
        <w:rPr>
          <w:szCs w:val="22"/>
        </w:rPr>
        <w:t>přímý vodní proud.</w:t>
      </w:r>
    </w:p>
    <w:p w:rsidR="00180350" w:rsidRPr="00180350" w:rsidRDefault="004C0EC8" w:rsidP="00893C1F">
      <w:pPr>
        <w:pStyle w:val="Nadpis2"/>
        <w:ind w:left="851" w:hanging="567"/>
        <w:rPr>
          <w:b/>
          <w:sz w:val="24"/>
          <w:szCs w:val="24"/>
        </w:rPr>
      </w:pPr>
      <w:r w:rsidRPr="004C0EC8">
        <w:rPr>
          <w:b/>
          <w:sz w:val="24"/>
          <w:szCs w:val="24"/>
        </w:rPr>
        <w:t>Zvláštní nebezpečnost vyplývající z látky nebo směsi</w:t>
      </w:r>
      <w:r w:rsidRPr="007E672F">
        <w:rPr>
          <w:b/>
          <w:szCs w:val="22"/>
        </w:rPr>
        <w:t>:</w:t>
      </w:r>
      <w:r>
        <w:rPr>
          <w:szCs w:val="22"/>
        </w:rPr>
        <w:br/>
      </w:r>
      <w:r w:rsidR="00746E37" w:rsidRPr="00746E37">
        <w:rPr>
          <w:szCs w:val="22"/>
        </w:rPr>
        <w:t>V důsledku spalování nebo tepelným rozkladem reaktivních vedlejších produktů</w:t>
      </w:r>
      <w:r w:rsidR="00491B0A">
        <w:rPr>
          <w:szCs w:val="22"/>
        </w:rPr>
        <w:t xml:space="preserve"> se mohou vytvořit látky, které mohou být vysoce toxické a v důsledku toho mohou</w:t>
      </w:r>
      <w:r w:rsidR="00746E37" w:rsidRPr="00746E37">
        <w:rPr>
          <w:szCs w:val="22"/>
        </w:rPr>
        <w:t xml:space="preserve"> představovat vážné zdravotní riziko.</w:t>
      </w:r>
    </w:p>
    <w:p w:rsidR="007E672F" w:rsidRPr="007E672F" w:rsidRDefault="00180350" w:rsidP="00893C1F">
      <w:pPr>
        <w:pStyle w:val="Nadpis2"/>
        <w:ind w:left="851" w:hanging="567"/>
        <w:rPr>
          <w:b/>
          <w:sz w:val="24"/>
          <w:szCs w:val="24"/>
        </w:rPr>
      </w:pPr>
      <w:r w:rsidRPr="00180350">
        <w:rPr>
          <w:b/>
          <w:sz w:val="24"/>
          <w:szCs w:val="24"/>
        </w:rPr>
        <w:t>Pokyny pro hasiče:</w:t>
      </w:r>
      <w:r w:rsidR="007E672F">
        <w:rPr>
          <w:b/>
          <w:sz w:val="24"/>
          <w:szCs w:val="24"/>
        </w:rPr>
        <w:br/>
      </w:r>
      <w:r w:rsidR="007E672F" w:rsidRPr="007E672F">
        <w:rPr>
          <w:szCs w:val="22"/>
        </w:rPr>
        <w:t>V</w:t>
      </w:r>
      <w:r w:rsidR="007E672F">
        <w:rPr>
          <w:szCs w:val="22"/>
        </w:rPr>
        <w:t xml:space="preserve"> závislosti na velikosti požáru může být nezbytné použi</w:t>
      </w:r>
      <w:r w:rsidR="007E672F" w:rsidRPr="007E672F">
        <w:rPr>
          <w:szCs w:val="22"/>
        </w:rPr>
        <w:t>t</w:t>
      </w:r>
      <w:r w:rsidR="007E672F">
        <w:rPr>
          <w:szCs w:val="22"/>
        </w:rPr>
        <w:t>í</w:t>
      </w:r>
      <w:r w:rsidR="007E672F" w:rsidRPr="007E672F">
        <w:rPr>
          <w:szCs w:val="22"/>
        </w:rPr>
        <w:t xml:space="preserve"> kompletní</w:t>
      </w:r>
      <w:r w:rsidR="007E672F">
        <w:rPr>
          <w:szCs w:val="22"/>
        </w:rPr>
        <w:t>ho ochranného</w:t>
      </w:r>
      <w:r w:rsidR="007E672F" w:rsidRPr="007E672F">
        <w:rPr>
          <w:szCs w:val="22"/>
        </w:rPr>
        <w:t xml:space="preserve"> oděv</w:t>
      </w:r>
      <w:r w:rsidR="007E672F">
        <w:rPr>
          <w:szCs w:val="22"/>
        </w:rPr>
        <w:t>u a individuálních dýchacích přístrojů</w:t>
      </w:r>
      <w:r w:rsidR="007E672F" w:rsidRPr="007E672F">
        <w:rPr>
          <w:szCs w:val="22"/>
        </w:rPr>
        <w:t>. Minimální nouzové zařízení a vybavení by měly být k dispozici (protipožární</w:t>
      </w:r>
      <w:r w:rsidR="007E672F">
        <w:rPr>
          <w:szCs w:val="22"/>
        </w:rPr>
        <w:t xml:space="preserve"> přikrývky, přenosná lékárnička …</w:t>
      </w:r>
      <w:r w:rsidR="007E672F" w:rsidRPr="007E672F">
        <w:rPr>
          <w:szCs w:val="22"/>
        </w:rPr>
        <w:t>) v souladu se směrnicí 89/654 / ES.</w:t>
      </w:r>
    </w:p>
    <w:p w:rsidR="00855488" w:rsidRPr="00180350" w:rsidRDefault="007E672F" w:rsidP="007E672F">
      <w:pPr>
        <w:pStyle w:val="Nadpis2"/>
        <w:numPr>
          <w:ilvl w:val="0"/>
          <w:numId w:val="0"/>
        </w:numPr>
        <w:ind w:left="850"/>
        <w:rPr>
          <w:b/>
          <w:sz w:val="24"/>
          <w:szCs w:val="24"/>
        </w:rPr>
      </w:pPr>
      <w:r w:rsidRPr="007E672F">
        <w:rPr>
          <w:b/>
          <w:sz w:val="24"/>
          <w:szCs w:val="24"/>
        </w:rPr>
        <w:t>Další ustanovení:</w:t>
      </w:r>
      <w:r>
        <w:rPr>
          <w:b/>
          <w:sz w:val="24"/>
          <w:szCs w:val="24"/>
        </w:rPr>
        <w:br/>
      </w:r>
      <w:r w:rsidR="0005610A">
        <w:rPr>
          <w:szCs w:val="22"/>
        </w:rPr>
        <w:t>Zákon v souladu s vnitřním plánem</w:t>
      </w:r>
      <w:r w:rsidRPr="0005610A">
        <w:rPr>
          <w:szCs w:val="22"/>
        </w:rPr>
        <w:t xml:space="preserve"> pro stav nouze a inform</w:t>
      </w:r>
      <w:r w:rsidR="0005610A">
        <w:rPr>
          <w:szCs w:val="22"/>
        </w:rPr>
        <w:t>ačních listech o opatřeních</w:t>
      </w:r>
      <w:r w:rsidRPr="0005610A">
        <w:rPr>
          <w:szCs w:val="22"/>
        </w:rPr>
        <w:t xml:space="preserve"> po nehodě nebo ji</w:t>
      </w:r>
      <w:r w:rsidR="005E3414">
        <w:rPr>
          <w:szCs w:val="22"/>
        </w:rPr>
        <w:t>ných mimořádných událostí. Znič</w:t>
      </w:r>
      <w:r w:rsidRPr="0005610A">
        <w:rPr>
          <w:szCs w:val="22"/>
        </w:rPr>
        <w:t>t</w:t>
      </w:r>
      <w:r w:rsidR="005E3414">
        <w:rPr>
          <w:szCs w:val="22"/>
        </w:rPr>
        <w:t>e</w:t>
      </w:r>
      <w:r w:rsidRPr="0005610A">
        <w:rPr>
          <w:szCs w:val="22"/>
        </w:rPr>
        <w:t xml:space="preserve"> jakýkoliv </w:t>
      </w:r>
      <w:r w:rsidR="0005610A">
        <w:rPr>
          <w:szCs w:val="22"/>
        </w:rPr>
        <w:t>zdroj vznícení. V případě požáru ochlazujte</w:t>
      </w:r>
      <w:r w:rsidRPr="0005610A">
        <w:rPr>
          <w:szCs w:val="22"/>
        </w:rPr>
        <w:t xml:space="preserve"> skladovací kontejnery a nádrže pro vý</w:t>
      </w:r>
      <w:r w:rsidR="0005610A">
        <w:rPr>
          <w:szCs w:val="22"/>
        </w:rPr>
        <w:t xml:space="preserve">robky </w:t>
      </w:r>
      <w:r w:rsidR="007D36D1">
        <w:rPr>
          <w:szCs w:val="22"/>
        </w:rPr>
        <w:t>citlivé</w:t>
      </w:r>
      <w:r w:rsidR="0005610A">
        <w:rPr>
          <w:szCs w:val="22"/>
        </w:rPr>
        <w:t xml:space="preserve"> k vznícení, </w:t>
      </w:r>
      <w:r w:rsidR="007D36D1">
        <w:rPr>
          <w:szCs w:val="22"/>
        </w:rPr>
        <w:t xml:space="preserve">či k </w:t>
      </w:r>
      <w:r w:rsidR="0005610A">
        <w:rPr>
          <w:szCs w:val="22"/>
        </w:rPr>
        <w:t>výbuchu</w:t>
      </w:r>
      <w:r w:rsidRPr="0005610A">
        <w:rPr>
          <w:szCs w:val="22"/>
        </w:rPr>
        <w:t xml:space="preserve"> v důsledku vysokých teplot. Vyvarujte se rozlití použitých výrobků</w:t>
      </w:r>
      <w:r w:rsidR="00D67EB3">
        <w:rPr>
          <w:szCs w:val="22"/>
        </w:rPr>
        <w:t xml:space="preserve"> k uhašení ohně</w:t>
      </w:r>
      <w:r w:rsidRPr="0005610A">
        <w:rPr>
          <w:szCs w:val="22"/>
        </w:rPr>
        <w:t xml:space="preserve"> do vodného média</w:t>
      </w:r>
      <w:r w:rsidRPr="007E672F">
        <w:rPr>
          <w:b/>
          <w:sz w:val="24"/>
          <w:szCs w:val="24"/>
        </w:rPr>
        <w:t>.</w:t>
      </w:r>
      <w:r w:rsidR="004C0EC8" w:rsidRPr="00180350">
        <w:rPr>
          <w:b/>
          <w:sz w:val="24"/>
          <w:szCs w:val="24"/>
        </w:rPr>
        <w:br/>
      </w:r>
    </w:p>
    <w:p w:rsidR="006829C8" w:rsidRDefault="00D67EB3" w:rsidP="00D67EB3">
      <w:pPr>
        <w:pStyle w:val="Nadpis1"/>
      </w:pPr>
      <w:r w:rsidRPr="00D67EB3">
        <w:t>Opatření v případě náhodného úniku</w:t>
      </w:r>
    </w:p>
    <w:p w:rsidR="008846B4" w:rsidRDefault="00D67EB3" w:rsidP="00893C1F">
      <w:pPr>
        <w:pStyle w:val="Nadpis2"/>
        <w:ind w:left="851" w:hanging="567"/>
      </w:pPr>
      <w:r w:rsidRPr="00D67EB3">
        <w:rPr>
          <w:b/>
          <w:sz w:val="24"/>
          <w:szCs w:val="24"/>
        </w:rPr>
        <w:t>Opatření na ochranu osob, ochranné prostředky a nouzové postupy</w:t>
      </w:r>
      <w:r w:rsidRPr="00D67EB3">
        <w:t>:</w:t>
      </w:r>
      <w:r w:rsidR="008846B4">
        <w:br/>
      </w:r>
      <w:r w:rsidR="00A552B4">
        <w:t>Zabrańte přímému kontaktu s produktem.</w:t>
      </w:r>
      <w:r w:rsidR="00A552B4" w:rsidRPr="00A552B4">
        <w:rPr>
          <w:rFonts w:cs="Arial"/>
          <w:sz w:val="18"/>
          <w:szCs w:val="18"/>
          <w:lang w:eastAsia="cs-CZ"/>
        </w:rPr>
        <w:t xml:space="preserve"> </w:t>
      </w:r>
      <w:r w:rsidR="00A552B4" w:rsidRPr="00A552B4">
        <w:rPr>
          <w:rFonts w:cs="Arial"/>
          <w:szCs w:val="22"/>
          <w:lang w:eastAsia="cs-CZ"/>
        </w:rPr>
        <w:t>Použijte osobní ochranné pomůcky. Zabraňte dalšímu rozšiřování produktu. Minimalizujte prašnost. Nevdechujte prach. Větrejte uzavřené prostory.</w:t>
      </w:r>
    </w:p>
    <w:p w:rsidR="00E7623C" w:rsidRDefault="008846B4" w:rsidP="00893C1F">
      <w:pPr>
        <w:pStyle w:val="Nadpis2"/>
        <w:ind w:left="851" w:hanging="567"/>
        <w:rPr>
          <w:szCs w:val="22"/>
        </w:rPr>
      </w:pPr>
      <w:r w:rsidRPr="008846B4">
        <w:rPr>
          <w:b/>
          <w:sz w:val="24"/>
          <w:szCs w:val="24"/>
        </w:rPr>
        <w:t>Opatření na ochranu životního prostředí:</w:t>
      </w:r>
      <w:r w:rsidR="00D67EB3" w:rsidRPr="008846B4">
        <w:rPr>
          <w:b/>
          <w:sz w:val="24"/>
          <w:szCs w:val="24"/>
        </w:rPr>
        <w:br/>
      </w:r>
      <w:r w:rsidR="00057F3B">
        <w:rPr>
          <w:szCs w:val="22"/>
        </w:rPr>
        <w:t xml:space="preserve"> </w:t>
      </w:r>
      <w:r w:rsidR="000E6787">
        <w:rPr>
          <w:szCs w:val="22"/>
        </w:rPr>
        <w:t>Zabraňte kontaminaci půdy a úniku do povrchových nebo spodních vod.</w:t>
      </w:r>
      <w:r w:rsidR="00057F3B" w:rsidRPr="00057F3B">
        <w:rPr>
          <w:szCs w:val="22"/>
        </w:rPr>
        <w:t xml:space="preserve"> Informujte příslušný </w:t>
      </w:r>
      <w:r w:rsidR="0074579C">
        <w:rPr>
          <w:szCs w:val="22"/>
        </w:rPr>
        <w:t>Obecní úřad,referát</w:t>
      </w:r>
      <w:r w:rsidR="00057F3B" w:rsidRPr="00057F3B">
        <w:rPr>
          <w:szCs w:val="22"/>
        </w:rPr>
        <w:t xml:space="preserve"> životního prostředí</w:t>
      </w:r>
      <w:r w:rsidR="0074579C">
        <w:rPr>
          <w:szCs w:val="22"/>
        </w:rPr>
        <w:t xml:space="preserve"> a hasiče</w:t>
      </w:r>
      <w:r w:rsidR="00057F3B" w:rsidRPr="00057F3B">
        <w:rPr>
          <w:szCs w:val="22"/>
        </w:rPr>
        <w:t>.</w:t>
      </w:r>
    </w:p>
    <w:p w:rsidR="0074579C" w:rsidRDefault="00E7623C" w:rsidP="00893C1F">
      <w:pPr>
        <w:pStyle w:val="Nadpis2"/>
        <w:ind w:left="851" w:hanging="567"/>
      </w:pPr>
      <w:r w:rsidRPr="0074579C">
        <w:rPr>
          <w:b/>
          <w:sz w:val="24"/>
          <w:szCs w:val="24"/>
        </w:rPr>
        <w:t>Metody a materiál pro omezení úniku a pro čištění:</w:t>
      </w:r>
      <w:r>
        <w:br/>
      </w:r>
      <w:r w:rsidRPr="0074579C">
        <w:rPr>
          <w:szCs w:val="22"/>
        </w:rPr>
        <w:t>Doporučuje se:</w:t>
      </w:r>
      <w:r w:rsidRPr="0074579C">
        <w:rPr>
          <w:szCs w:val="22"/>
        </w:rPr>
        <w:br/>
      </w:r>
      <w:r w:rsidR="0074579C">
        <w:t xml:space="preserve">Bezpečně smést a v uzavřených nádobách předat k likvidaci firmě oprávněné k této </w:t>
      </w:r>
      <w:r w:rsidR="0074579C">
        <w:lastRenderedPageBreak/>
        <w:t>činnosti. Likvidujte v souladu s platnou legislativou, viz.kapitola 13.                                                                    Kontaminované místo umyjte velkým množstvím vody</w:t>
      </w:r>
    </w:p>
    <w:p w:rsidR="0019680F" w:rsidRPr="00E7623C" w:rsidRDefault="00E7623C" w:rsidP="00893C1F">
      <w:pPr>
        <w:pStyle w:val="Nadpis2"/>
        <w:ind w:left="851" w:hanging="567"/>
      </w:pPr>
      <w:r w:rsidRPr="0074579C">
        <w:rPr>
          <w:b/>
          <w:sz w:val="24"/>
          <w:szCs w:val="24"/>
        </w:rPr>
        <w:t>Odkaz na jiné oddíly:</w:t>
      </w:r>
      <w:r w:rsidR="003E2D99">
        <w:br/>
      </w:r>
      <w:r w:rsidR="003E2D99" w:rsidRPr="0074579C">
        <w:rPr>
          <w:szCs w:val="22"/>
        </w:rPr>
        <w:t>Viz body 8 a 13.</w:t>
      </w:r>
      <w:r w:rsidR="00D67EB3" w:rsidRPr="00E7623C">
        <w:br/>
      </w:r>
    </w:p>
    <w:p w:rsidR="00855488" w:rsidRPr="00855488" w:rsidRDefault="009F2B20" w:rsidP="009F2B20">
      <w:pPr>
        <w:pStyle w:val="Nadpis1"/>
      </w:pPr>
      <w:r w:rsidRPr="009F2B20">
        <w:t>Zacházení a skladování</w:t>
      </w:r>
    </w:p>
    <w:p w:rsidR="00BF1D02" w:rsidRDefault="009F2B20" w:rsidP="00F87049">
      <w:pPr>
        <w:pStyle w:val="Nadpis2"/>
        <w:rPr>
          <w:b/>
          <w:sz w:val="24"/>
          <w:szCs w:val="24"/>
        </w:rPr>
      </w:pPr>
      <w:r w:rsidRPr="009F2B20">
        <w:rPr>
          <w:b/>
          <w:sz w:val="24"/>
          <w:szCs w:val="24"/>
        </w:rPr>
        <w:t>O</w:t>
      </w:r>
      <w:r w:rsidR="00BF1D02">
        <w:rPr>
          <w:b/>
          <w:sz w:val="24"/>
          <w:szCs w:val="24"/>
        </w:rPr>
        <w:t>patření pro bezpečné zacházení:</w:t>
      </w:r>
    </w:p>
    <w:p w:rsidR="00F87049" w:rsidRPr="004B6AD2" w:rsidRDefault="00F87049" w:rsidP="00BF1D02">
      <w:pPr>
        <w:pStyle w:val="Nadpis2"/>
        <w:numPr>
          <w:ilvl w:val="0"/>
          <w:numId w:val="0"/>
        </w:numPr>
        <w:ind w:left="850"/>
        <w:rPr>
          <w:rStyle w:val="hps"/>
          <w:szCs w:val="22"/>
        </w:rPr>
      </w:pPr>
      <w:r>
        <w:rPr>
          <w:rStyle w:val="hps"/>
        </w:rPr>
        <w:t>Opatření pro</w:t>
      </w:r>
      <w:r>
        <w:rPr>
          <w:rStyle w:val="shorttext"/>
        </w:rPr>
        <w:t xml:space="preserve"> </w:t>
      </w:r>
      <w:r>
        <w:rPr>
          <w:rStyle w:val="hps"/>
        </w:rPr>
        <w:t>bezpečné zacházení</w:t>
      </w:r>
      <w:r>
        <w:rPr>
          <w:rStyle w:val="hps"/>
        </w:rPr>
        <w:br/>
      </w:r>
      <w:r w:rsidR="004B6AD2" w:rsidRPr="004B6AD2">
        <w:rPr>
          <w:rStyle w:val="hps"/>
          <w:szCs w:val="22"/>
        </w:rPr>
        <w:t>V souladu s platnou legislativou týkající se prevence průmyslových rizik</w:t>
      </w:r>
      <w:r w:rsidR="004B6AD2">
        <w:rPr>
          <w:rStyle w:val="hps"/>
          <w:szCs w:val="22"/>
        </w:rPr>
        <w:t>.</w:t>
      </w:r>
      <w:r w:rsidR="00E24D84">
        <w:rPr>
          <w:rStyle w:val="hps"/>
          <w:szCs w:val="22"/>
        </w:rPr>
        <w:t xml:space="preserve"> Udržujte nádoby hermeticky uzavřené.</w:t>
      </w:r>
      <w:r w:rsidR="004B6AD2">
        <w:rPr>
          <w:rStyle w:val="hps"/>
          <w:szCs w:val="22"/>
        </w:rPr>
        <w:t xml:space="preserve"> </w:t>
      </w:r>
      <w:r w:rsidR="00E24D84">
        <w:rPr>
          <w:rStyle w:val="hps"/>
          <w:szCs w:val="22"/>
        </w:rPr>
        <w:t>Kontrolujte</w:t>
      </w:r>
      <w:r w:rsidR="00E24D84" w:rsidRPr="00E24D84">
        <w:rPr>
          <w:rStyle w:val="hps"/>
          <w:szCs w:val="22"/>
        </w:rPr>
        <w:t xml:space="preserve"> úniky a zbytky</w:t>
      </w:r>
      <w:r w:rsidR="00E24D84">
        <w:rPr>
          <w:rStyle w:val="hps"/>
          <w:szCs w:val="22"/>
        </w:rPr>
        <w:t>,</w:t>
      </w:r>
      <w:r w:rsidR="00E24D84" w:rsidRPr="00E24D84">
        <w:rPr>
          <w:rStyle w:val="hps"/>
          <w:szCs w:val="22"/>
        </w:rPr>
        <w:t xml:space="preserve"> likvidujte</w:t>
      </w:r>
      <w:r w:rsidR="00E24D84">
        <w:rPr>
          <w:rStyle w:val="hps"/>
          <w:szCs w:val="22"/>
        </w:rPr>
        <w:t xml:space="preserve"> je</w:t>
      </w:r>
      <w:r w:rsidR="00E24D84" w:rsidRPr="00E24D84">
        <w:rPr>
          <w:rStyle w:val="hps"/>
          <w:szCs w:val="22"/>
        </w:rPr>
        <w:t xml:space="preserve"> bezpečnými metod</w:t>
      </w:r>
      <w:r w:rsidR="00E24D84">
        <w:rPr>
          <w:rStyle w:val="hps"/>
          <w:szCs w:val="22"/>
        </w:rPr>
        <w:t>ami (část 6). Vyvarujte se únikům z nádob</w:t>
      </w:r>
      <w:r w:rsidR="00E24D84" w:rsidRPr="00E24D84">
        <w:rPr>
          <w:rStyle w:val="hps"/>
          <w:szCs w:val="22"/>
        </w:rPr>
        <w:t>. Uchováv</w:t>
      </w:r>
      <w:r w:rsidR="00E24D84">
        <w:rPr>
          <w:rStyle w:val="hps"/>
          <w:szCs w:val="22"/>
        </w:rPr>
        <w:t>ejte pořádek</w:t>
      </w:r>
      <w:r w:rsidR="00E24D84" w:rsidRPr="00E24D84">
        <w:rPr>
          <w:rStyle w:val="hps"/>
          <w:szCs w:val="22"/>
        </w:rPr>
        <w:t xml:space="preserve"> a čistotu tam, kde jsou používány nebezpečné produkty</w:t>
      </w:r>
      <w:r w:rsidR="00E24D84" w:rsidRPr="00A552B4">
        <w:rPr>
          <w:rStyle w:val="hps"/>
          <w:szCs w:val="22"/>
        </w:rPr>
        <w:t>.</w:t>
      </w:r>
      <w:r w:rsidR="00A552B4" w:rsidRPr="00A552B4">
        <w:rPr>
          <w:rFonts w:cs="Arial"/>
          <w:szCs w:val="22"/>
          <w:lang w:eastAsia="cs-CZ"/>
        </w:rPr>
        <w:t xml:space="preserve"> Zajistěte dobré větrání pracoviště.</w:t>
      </w:r>
    </w:p>
    <w:p w:rsidR="00291690" w:rsidRDefault="0074579C" w:rsidP="00F87049">
      <w:pPr>
        <w:pStyle w:val="Nadpis2"/>
        <w:numPr>
          <w:ilvl w:val="0"/>
          <w:numId w:val="0"/>
        </w:numPr>
        <w:ind w:left="850"/>
        <w:rPr>
          <w:rStyle w:val="hps"/>
        </w:rPr>
      </w:pPr>
      <w:r>
        <w:rPr>
          <w:rStyle w:val="hps"/>
        </w:rPr>
        <w:t>Používejte osobní ochranné pomůcky, kapitola 8.</w:t>
      </w:r>
      <w:r w:rsidR="00291690">
        <w:rPr>
          <w:rStyle w:val="hps"/>
        </w:rPr>
        <w:br/>
      </w:r>
      <w:r w:rsidR="00291690" w:rsidRPr="00291690">
        <w:rPr>
          <w:rStyle w:val="hps"/>
        </w:rPr>
        <w:t xml:space="preserve">Nejezte ani nepijte v průběhu procesu, </w:t>
      </w:r>
      <w:r w:rsidR="00291690">
        <w:rPr>
          <w:rStyle w:val="hps"/>
        </w:rPr>
        <w:t>u</w:t>
      </w:r>
      <w:r w:rsidR="00291690" w:rsidRPr="00291690">
        <w:rPr>
          <w:rStyle w:val="hps"/>
        </w:rPr>
        <w:t>my</w:t>
      </w:r>
      <w:r w:rsidR="00291690">
        <w:rPr>
          <w:rStyle w:val="hps"/>
        </w:rPr>
        <w:t>jte si ruce poté</w:t>
      </w:r>
      <w:r w:rsidR="00291690" w:rsidRPr="00291690">
        <w:rPr>
          <w:rStyle w:val="hps"/>
        </w:rPr>
        <w:t xml:space="preserve"> vhodnými čisticími prostředky.</w:t>
      </w:r>
    </w:p>
    <w:p w:rsidR="00013DA9" w:rsidRDefault="00013DA9" w:rsidP="00893C1F">
      <w:pPr>
        <w:pStyle w:val="Nadpis2"/>
        <w:ind w:left="851" w:hanging="567"/>
        <w:rPr>
          <w:rStyle w:val="hps"/>
        </w:rPr>
      </w:pPr>
      <w:r w:rsidRPr="00013DA9">
        <w:rPr>
          <w:rStyle w:val="hps"/>
          <w:b/>
          <w:sz w:val="24"/>
          <w:szCs w:val="24"/>
        </w:rPr>
        <w:t>Podmínky pro bezpečné skladování včetně neslučitelnosti:</w:t>
      </w:r>
      <w:r>
        <w:rPr>
          <w:rStyle w:val="hps"/>
          <w:b/>
        </w:rPr>
        <w:br/>
      </w:r>
      <w:r w:rsidRPr="00013DA9">
        <w:rPr>
          <w:rStyle w:val="hps"/>
        </w:rPr>
        <w:t>Všeobecné podmínky pro skladování</w:t>
      </w:r>
      <w:r>
        <w:rPr>
          <w:rStyle w:val="hps"/>
        </w:rPr>
        <w:br/>
      </w:r>
      <w:r w:rsidR="0074579C">
        <w:rPr>
          <w:rStyle w:val="hps"/>
        </w:rPr>
        <w:t xml:space="preserve">Skladujte v těsně uzavřených nádobách, na chladných, suchých a dobře větraných místech. </w:t>
      </w:r>
      <w:r w:rsidR="00821308" w:rsidRPr="00821308">
        <w:rPr>
          <w:rStyle w:val="hps"/>
        </w:rPr>
        <w:t xml:space="preserve">Vyhněte se </w:t>
      </w:r>
      <w:r w:rsidR="00821308">
        <w:rPr>
          <w:rStyle w:val="hps"/>
        </w:rPr>
        <w:t>zdrojům tepla, záření, statické elektřině</w:t>
      </w:r>
      <w:r w:rsidR="00821308" w:rsidRPr="00821308">
        <w:rPr>
          <w:rStyle w:val="hps"/>
        </w:rPr>
        <w:t xml:space="preserve"> a styku s</w:t>
      </w:r>
      <w:r w:rsidR="0074579C">
        <w:rPr>
          <w:rStyle w:val="hps"/>
        </w:rPr>
        <w:t xml:space="preserve"> krmivy a </w:t>
      </w:r>
      <w:r w:rsidR="00821308" w:rsidRPr="00821308">
        <w:rPr>
          <w:rStyle w:val="hps"/>
        </w:rPr>
        <w:t>potravinami.</w:t>
      </w:r>
      <w:r w:rsidR="00D069BE">
        <w:rPr>
          <w:rStyle w:val="hps"/>
        </w:rPr>
        <w:t xml:space="preserve"> </w:t>
      </w:r>
      <w:r w:rsidR="00F61807">
        <w:rPr>
          <w:rStyle w:val="hps"/>
        </w:rPr>
        <w:t>Chraňte před vlhkem. Uchovávejte mimo dosah dětí a zvířat.</w:t>
      </w:r>
    </w:p>
    <w:p w:rsidR="006829C8" w:rsidRPr="00013DA9" w:rsidRDefault="00013DA9" w:rsidP="00893C1F">
      <w:pPr>
        <w:pStyle w:val="Nadpis2"/>
        <w:ind w:left="851" w:hanging="567"/>
        <w:rPr>
          <w:sz w:val="24"/>
          <w:szCs w:val="24"/>
        </w:rPr>
      </w:pPr>
      <w:r w:rsidRPr="00013DA9">
        <w:rPr>
          <w:rStyle w:val="hps"/>
          <w:b/>
          <w:sz w:val="24"/>
          <w:szCs w:val="24"/>
        </w:rPr>
        <w:t>Specifické konečné použití:</w:t>
      </w:r>
      <w:r>
        <w:rPr>
          <w:rStyle w:val="hps"/>
          <w:b/>
          <w:sz w:val="24"/>
          <w:szCs w:val="24"/>
        </w:rPr>
        <w:br/>
      </w:r>
      <w:r w:rsidRPr="0071742D">
        <w:rPr>
          <w:rStyle w:val="hps"/>
          <w:szCs w:val="22"/>
        </w:rPr>
        <w:t xml:space="preserve">S výjimkou </w:t>
      </w:r>
      <w:r w:rsidR="0071742D">
        <w:rPr>
          <w:rStyle w:val="hps"/>
          <w:szCs w:val="22"/>
        </w:rPr>
        <w:t>již uvedeného návodu,</w:t>
      </w:r>
      <w:r w:rsidRPr="0071742D">
        <w:rPr>
          <w:rStyle w:val="hps"/>
          <w:szCs w:val="22"/>
        </w:rPr>
        <w:t xml:space="preserve"> není nutné poskytovat žádné zvláštní doporučení týkající se použití tohoto produktu.</w:t>
      </w:r>
      <w:r w:rsidR="00F87049" w:rsidRPr="0071742D">
        <w:rPr>
          <w:rStyle w:val="hps"/>
          <w:szCs w:val="22"/>
        </w:rPr>
        <w:br/>
      </w:r>
      <w:r w:rsidR="00F87049" w:rsidRPr="00013DA9">
        <w:rPr>
          <w:sz w:val="24"/>
          <w:szCs w:val="24"/>
        </w:rPr>
        <w:t xml:space="preserve">      </w:t>
      </w:r>
    </w:p>
    <w:p w:rsidR="0019680F" w:rsidRDefault="0071742D" w:rsidP="0071742D">
      <w:pPr>
        <w:pStyle w:val="Nadpis1"/>
      </w:pPr>
      <w:r w:rsidRPr="0071742D">
        <w:t>Omezování expozice/osobní ochranné prostředky</w:t>
      </w:r>
    </w:p>
    <w:p w:rsidR="000A7F82" w:rsidRDefault="0071742D" w:rsidP="0048240D">
      <w:pPr>
        <w:pStyle w:val="Nadpis2"/>
        <w:ind w:left="851" w:hanging="567"/>
        <w:rPr>
          <w:b/>
          <w:sz w:val="24"/>
          <w:szCs w:val="24"/>
        </w:rPr>
      </w:pPr>
      <w:r w:rsidRPr="0071742D">
        <w:rPr>
          <w:b/>
          <w:sz w:val="24"/>
          <w:szCs w:val="24"/>
        </w:rPr>
        <w:t>Kontrolní parametry:</w:t>
      </w:r>
    </w:p>
    <w:p w:rsidR="00212A6E" w:rsidRPr="00212A6E" w:rsidRDefault="00212A6E" w:rsidP="00212A6E">
      <w:pPr>
        <w:rPr>
          <w:rFonts w:cs="Arial"/>
          <w:lang w:eastAsia="cs-CZ"/>
        </w:rPr>
      </w:pPr>
      <w:r w:rsidRPr="00212A6E">
        <w:t xml:space="preserve">              </w:t>
      </w:r>
      <w:r w:rsidRPr="00212A6E">
        <w:rPr>
          <w:rFonts w:cs="Arial"/>
          <w:lang w:eastAsia="cs-CZ"/>
        </w:rPr>
        <w:t xml:space="preserve">Na pracovišti musí být dodrženy maximální povolné koncentrace dýchatelného a </w:t>
      </w:r>
      <w:r>
        <w:rPr>
          <w:rFonts w:cs="Arial"/>
          <w:lang w:eastAsia="cs-CZ"/>
        </w:rPr>
        <w:t xml:space="preserve">             </w:t>
      </w:r>
      <w:r w:rsidRPr="00212A6E">
        <w:rPr>
          <w:rFonts w:cs="Arial"/>
          <w:lang w:eastAsia="cs-CZ"/>
        </w:rPr>
        <w:t xml:space="preserve">celkového </w:t>
      </w:r>
      <w:r>
        <w:rPr>
          <w:rFonts w:cs="Arial"/>
          <w:lang w:eastAsia="cs-CZ"/>
        </w:rPr>
        <w:t xml:space="preserve"> </w:t>
      </w:r>
      <w:r w:rsidRPr="00212A6E">
        <w:rPr>
          <w:rFonts w:cs="Arial"/>
          <w:lang w:eastAsia="cs-CZ"/>
        </w:rPr>
        <w:t>prachu.</w:t>
      </w:r>
    </w:p>
    <w:p w:rsidR="006D1F09" w:rsidRDefault="002F64AC" w:rsidP="002F64AC">
      <w:pPr>
        <w:rPr>
          <w:rFonts w:ascii="ArialNarrow" w:hAnsi="ArialNarrow" w:cs="ArialNarrow"/>
          <w:sz w:val="20"/>
          <w:szCs w:val="20"/>
          <w:lang w:eastAsia="cs-CZ"/>
        </w:rPr>
      </w:pPr>
      <w:r>
        <w:rPr>
          <w:rFonts w:ascii="ArialNarrow" w:hAnsi="ArialNarrow" w:cs="ArialNarrow"/>
          <w:sz w:val="20"/>
          <w:szCs w:val="20"/>
          <w:lang w:eastAsia="cs-CZ"/>
        </w:rPr>
        <w:t>Ostatní složky: Produkt neobsahuje žádná relevantní množství látek, u kterých se musí kontrolovat hraniční hodnoty na pracovišti.</w:t>
      </w:r>
    </w:p>
    <w:p w:rsidR="002F64AC" w:rsidRDefault="002F64AC" w:rsidP="002F64AC"/>
    <w:p w:rsidR="00212A6E" w:rsidRPr="002F64AC" w:rsidRDefault="00212A6E" w:rsidP="002F64AC"/>
    <w:p w:rsidR="001E4322" w:rsidRDefault="004209CF" w:rsidP="00F3653A">
      <w:pPr>
        <w:pStyle w:val="Nadpis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Omezování expozice</w:t>
      </w:r>
      <w:r w:rsidR="00F3653A" w:rsidRPr="00F3653A">
        <w:rPr>
          <w:b/>
          <w:sz w:val="24"/>
          <w:szCs w:val="24"/>
        </w:rPr>
        <w:t>:</w:t>
      </w:r>
    </w:p>
    <w:p w:rsidR="003A7E61" w:rsidRDefault="00F3653A" w:rsidP="002F64AC">
      <w:pPr>
        <w:pStyle w:val="Odstavecseseznamem"/>
        <w:ind w:left="709"/>
      </w:pPr>
      <w:r w:rsidRPr="00F3653A">
        <w:t>Všeobecná bezpečnostní a hygienická opatření na pracovišti</w:t>
      </w:r>
      <w:r w:rsidR="002F64AC">
        <w:t xml:space="preserve"> – nejezte, nepijte, nekuřte.</w:t>
      </w:r>
    </w:p>
    <w:p w:rsidR="00C949BE" w:rsidRPr="00212A6E" w:rsidRDefault="00C949BE" w:rsidP="002F64AC">
      <w:pPr>
        <w:pStyle w:val="Odstavecseseznamem"/>
        <w:ind w:left="709"/>
      </w:pPr>
      <w:r>
        <w:t>Po práci si důkladně omyjte ruce vodou a ošetřete reparačním krémem</w:t>
      </w:r>
      <w:r w:rsidRPr="00212A6E">
        <w:t>.</w:t>
      </w:r>
      <w:r w:rsidR="00212A6E" w:rsidRPr="00212A6E">
        <w:rPr>
          <w:rFonts w:cs="Arial"/>
          <w:lang w:eastAsia="cs-CZ"/>
        </w:rPr>
        <w:t xml:space="preserve"> Zajistitěte dobré větrání pracoviště. V případě nedostačujícícího větrání / klimatizace použijte místní odsávání.</w:t>
      </w:r>
    </w:p>
    <w:p w:rsidR="00C949BE" w:rsidRDefault="00C949BE" w:rsidP="002F64AC">
      <w:pPr>
        <w:pStyle w:val="Odstavecseseznamem"/>
        <w:ind w:left="709"/>
        <w:rPr>
          <w:b/>
        </w:rPr>
      </w:pPr>
      <w:r w:rsidRPr="00C949BE">
        <w:rPr>
          <w:b/>
        </w:rPr>
        <w:t>Ochrana očí a obličeje :</w:t>
      </w:r>
    </w:p>
    <w:p w:rsidR="00C949BE" w:rsidRDefault="00C949BE" w:rsidP="002F64AC">
      <w:pPr>
        <w:pStyle w:val="Odstavecseseznamem"/>
        <w:ind w:left="709"/>
      </w:pPr>
      <w:r w:rsidRPr="00C949BE">
        <w:t>Není nutná.</w:t>
      </w:r>
      <w:r w:rsidR="00212A6E">
        <w:t xml:space="preserve"> Při dlouhodobé expozici maska proti prachu.</w:t>
      </w:r>
    </w:p>
    <w:p w:rsidR="00C949BE" w:rsidRPr="00C949BE" w:rsidRDefault="00C949BE" w:rsidP="00C949BE">
      <w:pPr>
        <w:pStyle w:val="Odstavecseseznamem"/>
        <w:ind w:left="709"/>
      </w:pPr>
      <w:r w:rsidRPr="00C949BE">
        <w:rPr>
          <w:b/>
        </w:rPr>
        <w:t>Ochrana dýchacích cest:</w:t>
      </w:r>
      <w:r w:rsidRPr="00C949BE">
        <w:rPr>
          <w:b/>
        </w:rPr>
        <w:br/>
      </w:r>
      <w:r w:rsidRPr="00C949BE">
        <w:t>Není nutná.</w:t>
      </w:r>
    </w:p>
    <w:p w:rsidR="00C949BE" w:rsidRDefault="00C949BE" w:rsidP="002F64AC">
      <w:pPr>
        <w:pStyle w:val="Odstavecseseznamem"/>
        <w:ind w:left="709"/>
      </w:pPr>
      <w:r w:rsidRPr="00C949BE">
        <w:rPr>
          <w:b/>
        </w:rPr>
        <w:t>Ochrana kůže</w:t>
      </w:r>
      <w:r>
        <w:t xml:space="preserve"> :</w:t>
      </w:r>
    </w:p>
    <w:p w:rsidR="00C949BE" w:rsidRDefault="00C949BE" w:rsidP="00C949BE">
      <w:pPr>
        <w:pStyle w:val="Odstavecseseznamem"/>
        <w:ind w:left="709"/>
      </w:pPr>
      <w:r w:rsidRPr="00C949BE">
        <w:t>Při dlouhodobé expozici ochranné rukavice</w:t>
      </w:r>
    </w:p>
    <w:p w:rsidR="003A7E61" w:rsidRDefault="00C949BE" w:rsidP="00C949BE">
      <w:r>
        <w:t xml:space="preserve">           </w:t>
      </w:r>
      <w:r w:rsidR="003A7E61" w:rsidRPr="003A7E61">
        <w:t>Specifická ochrana pro ruce</w:t>
      </w:r>
      <w:r w:rsidR="003A7E61">
        <w:br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275"/>
        <w:gridCol w:w="1701"/>
        <w:gridCol w:w="2694"/>
        <w:gridCol w:w="2409"/>
      </w:tblGrid>
      <w:tr w:rsidR="009F2EC9" w:rsidRPr="002B197F" w:rsidTr="002B197F">
        <w:tc>
          <w:tcPr>
            <w:tcW w:w="2127" w:type="dxa"/>
            <w:shd w:val="clear" w:color="auto" w:fill="auto"/>
          </w:tcPr>
          <w:p w:rsidR="003A7E61" w:rsidRPr="002B197F" w:rsidRDefault="003A7E61" w:rsidP="002B197F">
            <w:pPr>
              <w:pStyle w:val="Odstavecseseznamem"/>
              <w:spacing w:after="0" w:line="240" w:lineRule="auto"/>
              <w:ind w:left="0"/>
              <w:jc w:val="center"/>
            </w:pPr>
            <w:r w:rsidRPr="002B197F">
              <w:t>Piktogram</w:t>
            </w:r>
          </w:p>
        </w:tc>
        <w:tc>
          <w:tcPr>
            <w:tcW w:w="1275" w:type="dxa"/>
            <w:shd w:val="clear" w:color="auto" w:fill="auto"/>
          </w:tcPr>
          <w:p w:rsidR="003A7E61" w:rsidRPr="002B197F" w:rsidRDefault="003A7E61" w:rsidP="002B197F">
            <w:pPr>
              <w:pStyle w:val="Odstavecseseznamem"/>
              <w:spacing w:after="0" w:line="240" w:lineRule="auto"/>
              <w:ind w:left="0"/>
              <w:jc w:val="center"/>
            </w:pPr>
            <w:r w:rsidRPr="002B197F">
              <w:t>PPE</w:t>
            </w:r>
          </w:p>
        </w:tc>
        <w:tc>
          <w:tcPr>
            <w:tcW w:w="1701" w:type="dxa"/>
            <w:shd w:val="clear" w:color="auto" w:fill="auto"/>
          </w:tcPr>
          <w:p w:rsidR="003A7E61" w:rsidRPr="002B197F" w:rsidRDefault="003A7E61" w:rsidP="002B197F">
            <w:pPr>
              <w:pStyle w:val="Odstavecseseznamem"/>
              <w:spacing w:after="0" w:line="240" w:lineRule="auto"/>
              <w:ind w:left="0"/>
              <w:jc w:val="center"/>
            </w:pPr>
            <w:r w:rsidRPr="002B197F">
              <w:t>Označování</w:t>
            </w:r>
          </w:p>
        </w:tc>
        <w:tc>
          <w:tcPr>
            <w:tcW w:w="2694" w:type="dxa"/>
            <w:shd w:val="clear" w:color="auto" w:fill="auto"/>
          </w:tcPr>
          <w:p w:rsidR="003A7E61" w:rsidRPr="002B197F" w:rsidRDefault="003A7E61" w:rsidP="002B197F">
            <w:pPr>
              <w:pStyle w:val="Odstavecseseznamem"/>
              <w:spacing w:after="0" w:line="240" w:lineRule="auto"/>
              <w:ind w:left="0"/>
              <w:jc w:val="center"/>
            </w:pPr>
            <w:r w:rsidRPr="002B197F">
              <w:t>CEN Standardní</w:t>
            </w:r>
          </w:p>
        </w:tc>
        <w:tc>
          <w:tcPr>
            <w:tcW w:w="2409" w:type="dxa"/>
            <w:shd w:val="clear" w:color="auto" w:fill="auto"/>
          </w:tcPr>
          <w:p w:rsidR="003A7E61" w:rsidRPr="002B197F" w:rsidRDefault="007638FF" w:rsidP="002B197F">
            <w:pPr>
              <w:pStyle w:val="Odstavecseseznamem"/>
              <w:spacing w:after="0" w:line="240" w:lineRule="auto"/>
              <w:ind w:left="0"/>
              <w:jc w:val="center"/>
            </w:pPr>
            <w:r w:rsidRPr="002B197F">
              <w:t>Poznámky</w:t>
            </w:r>
          </w:p>
        </w:tc>
      </w:tr>
      <w:tr w:rsidR="009F2EC9" w:rsidRPr="002B197F" w:rsidTr="002B197F">
        <w:trPr>
          <w:trHeight w:val="1680"/>
        </w:trPr>
        <w:tc>
          <w:tcPr>
            <w:tcW w:w="2127" w:type="dxa"/>
            <w:shd w:val="clear" w:color="auto" w:fill="auto"/>
          </w:tcPr>
          <w:p w:rsidR="003A7E61" w:rsidRPr="002B197F" w:rsidRDefault="002552C4" w:rsidP="002B197F">
            <w:pPr>
              <w:pStyle w:val="Odstavecseseznamem"/>
              <w:spacing w:after="0" w:line="240" w:lineRule="auto"/>
              <w:ind w:left="0"/>
              <w:jc w:val="center"/>
            </w:pPr>
            <w:r w:rsidRPr="00F53126">
              <w:rPr>
                <w:noProof/>
                <w:lang w:eastAsia="cs-CZ"/>
              </w:rPr>
              <w:drawing>
                <wp:inline distT="0" distB="0" distL="0" distR="0">
                  <wp:extent cx="571500" cy="533400"/>
                  <wp:effectExtent l="0" t="0" r="0" b="0"/>
                  <wp:docPr id="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8FF" w:rsidRPr="002B197F" w:rsidRDefault="007638FF" w:rsidP="002B197F">
            <w:pPr>
              <w:pStyle w:val="Odstavecseseznamem"/>
              <w:spacing w:after="0" w:line="240" w:lineRule="auto"/>
              <w:ind w:left="0"/>
              <w:jc w:val="center"/>
            </w:pPr>
            <w:r w:rsidRPr="002B197F">
              <w:t>Povinná ochrana rukou</w:t>
            </w:r>
          </w:p>
        </w:tc>
        <w:tc>
          <w:tcPr>
            <w:tcW w:w="1275" w:type="dxa"/>
            <w:shd w:val="clear" w:color="auto" w:fill="auto"/>
          </w:tcPr>
          <w:p w:rsidR="003A7E61" w:rsidRPr="002B197F" w:rsidRDefault="007638FF" w:rsidP="002B197F">
            <w:pPr>
              <w:pStyle w:val="Odstavecseseznamem"/>
              <w:spacing w:after="0" w:line="240" w:lineRule="auto"/>
              <w:ind w:left="0"/>
            </w:pPr>
            <w:r w:rsidRPr="002B197F">
              <w:t>Chemické ochranné rukavice</w:t>
            </w:r>
          </w:p>
        </w:tc>
        <w:tc>
          <w:tcPr>
            <w:tcW w:w="1701" w:type="dxa"/>
            <w:shd w:val="clear" w:color="auto" w:fill="auto"/>
          </w:tcPr>
          <w:p w:rsidR="003A7E61" w:rsidRPr="002B197F" w:rsidRDefault="002552C4" w:rsidP="002B197F">
            <w:pPr>
              <w:pStyle w:val="Odstavecseseznamem"/>
              <w:spacing w:after="0" w:line="240" w:lineRule="auto"/>
              <w:ind w:left="0"/>
              <w:jc w:val="center"/>
            </w:pPr>
            <w:r w:rsidRPr="00F53126">
              <w:rPr>
                <w:noProof/>
                <w:lang w:eastAsia="cs-CZ"/>
              </w:rPr>
              <w:drawing>
                <wp:inline distT="0" distB="0" distL="0" distR="0">
                  <wp:extent cx="904875" cy="895350"/>
                  <wp:effectExtent l="0" t="0" r="9525" b="0"/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shd w:val="clear" w:color="auto" w:fill="auto"/>
          </w:tcPr>
          <w:p w:rsidR="003A7E61" w:rsidRPr="002B197F" w:rsidRDefault="000273AA" w:rsidP="002B197F">
            <w:pPr>
              <w:pStyle w:val="Odstavecseseznamem"/>
              <w:spacing w:after="0" w:line="240" w:lineRule="auto"/>
              <w:ind w:left="0"/>
            </w:pPr>
            <w:r w:rsidRPr="000273AA">
              <w:t xml:space="preserve">EN 374-1:2003 </w:t>
            </w:r>
            <w:r>
              <w:br/>
            </w:r>
            <w:r w:rsidRPr="000273AA">
              <w:t>EN 374-3:2003/AC:2006 EN 420:2003+A1:2009</w:t>
            </w:r>
          </w:p>
        </w:tc>
        <w:tc>
          <w:tcPr>
            <w:tcW w:w="2409" w:type="dxa"/>
            <w:shd w:val="clear" w:color="auto" w:fill="auto"/>
          </w:tcPr>
          <w:p w:rsidR="003A7E61" w:rsidRPr="002B197F" w:rsidRDefault="007638FF" w:rsidP="002B197F">
            <w:pPr>
              <w:pStyle w:val="Odstavecseseznamem"/>
              <w:spacing w:after="0" w:line="240" w:lineRule="auto"/>
              <w:ind w:left="0"/>
            </w:pPr>
            <w:r w:rsidRPr="002B197F">
              <w:t>Vyměňte rukavice při jakémkoliv náznaku zhoršení.</w:t>
            </w:r>
          </w:p>
        </w:tc>
      </w:tr>
    </w:tbl>
    <w:p w:rsidR="00C949BE" w:rsidRDefault="00C949BE" w:rsidP="00EF7FF8">
      <w:pPr>
        <w:rPr>
          <w:b/>
          <w:sz w:val="24"/>
          <w:szCs w:val="24"/>
        </w:rPr>
      </w:pPr>
    </w:p>
    <w:p w:rsidR="007638FF" w:rsidRPr="00ED0E3B" w:rsidRDefault="00ED0E3B" w:rsidP="007F6515">
      <w:pPr>
        <w:ind w:left="709"/>
      </w:pPr>
      <w:r w:rsidRPr="00ED0E3B">
        <w:rPr>
          <w:b/>
          <w:sz w:val="24"/>
          <w:szCs w:val="24"/>
        </w:rPr>
        <w:t>Omezování expozice životního prostředí:</w:t>
      </w:r>
      <w:r>
        <w:rPr>
          <w:b/>
          <w:sz w:val="24"/>
          <w:szCs w:val="24"/>
        </w:rPr>
        <w:br/>
      </w:r>
      <w:r w:rsidR="00C949BE">
        <w:t>zabránit</w:t>
      </w:r>
      <w:r w:rsidRPr="00ED0E3B">
        <w:t xml:space="preserve"> úniku</w:t>
      </w:r>
      <w:r w:rsidR="00A1692A">
        <w:t xml:space="preserve"> do</w:t>
      </w:r>
      <w:r w:rsidRPr="00ED0E3B">
        <w:t xml:space="preserve"> životního prostředí</w:t>
      </w:r>
      <w:r w:rsidR="00C949BE">
        <w:t xml:space="preserve">- viz.bod 6.2. </w:t>
      </w:r>
    </w:p>
    <w:p w:rsidR="00B64EFA" w:rsidRPr="00B64EFA" w:rsidRDefault="007C75A0" w:rsidP="007C75A0">
      <w:pPr>
        <w:pStyle w:val="Nadpis1"/>
      </w:pPr>
      <w:r w:rsidRPr="007C75A0">
        <w:t>Fyzikální a chemické vlastnosti</w:t>
      </w:r>
    </w:p>
    <w:p w:rsidR="00A41AD3" w:rsidRDefault="00A41AD3" w:rsidP="00F9544C">
      <w:pPr>
        <w:pStyle w:val="Nadpis2"/>
        <w:ind w:left="851"/>
      </w:pPr>
      <w:r w:rsidRPr="00A41AD3">
        <w:rPr>
          <w:b/>
          <w:sz w:val="24"/>
          <w:szCs w:val="24"/>
        </w:rPr>
        <w:t>Informace o základních fyzikálních a chemických vlastnostech:</w:t>
      </w:r>
    </w:p>
    <w:p w:rsidR="00C83574" w:rsidRDefault="00141FB9" w:rsidP="00C83574">
      <w:pPr>
        <w:ind w:left="705"/>
      </w:pPr>
      <w:r>
        <w:rPr>
          <w:b/>
          <w:sz w:val="24"/>
          <w:szCs w:val="24"/>
        </w:rPr>
        <w:t>Vzhled</w:t>
      </w:r>
      <w:r w:rsidR="00A41AD3" w:rsidRPr="00A41AD3">
        <w:rPr>
          <w:b/>
          <w:sz w:val="24"/>
          <w:szCs w:val="24"/>
        </w:rPr>
        <w:t>:</w:t>
      </w:r>
      <w:r w:rsidR="00A41AD3">
        <w:rPr>
          <w:b/>
          <w:sz w:val="24"/>
          <w:szCs w:val="24"/>
        </w:rPr>
        <w:br/>
      </w:r>
      <w:r w:rsidR="00A41AD3">
        <w:rPr>
          <w:b/>
          <w:sz w:val="24"/>
          <w:szCs w:val="24"/>
        </w:rPr>
        <w:tab/>
      </w:r>
      <w:r w:rsidR="00A41AD3" w:rsidRPr="00A41AD3">
        <w:t>Fyzikální stav při 20 ° C:</w:t>
      </w:r>
      <w:r w:rsidR="00A41AD3">
        <w:tab/>
      </w:r>
      <w:r w:rsidR="00C949BE">
        <w:tab/>
      </w:r>
      <w:r w:rsidR="00C949BE">
        <w:tab/>
        <w:t>Pevné</w:t>
      </w:r>
      <w:r w:rsidR="00A41AD3">
        <w:br/>
      </w:r>
      <w:r w:rsidR="00A41AD3">
        <w:tab/>
      </w:r>
      <w:r w:rsidR="00A41AD3" w:rsidRPr="00A41AD3">
        <w:t>Vzhled:</w:t>
      </w:r>
      <w:r w:rsidR="00A41AD3">
        <w:tab/>
      </w:r>
      <w:r w:rsidR="00A41AD3">
        <w:tab/>
      </w:r>
      <w:r w:rsidR="00A41AD3">
        <w:tab/>
      </w:r>
      <w:r w:rsidR="00C439A0">
        <w:tab/>
      </w:r>
      <w:r w:rsidR="00C439A0">
        <w:tab/>
      </w:r>
      <w:r w:rsidR="00C52909">
        <w:t>Sáčky s náplní, 100g</w:t>
      </w:r>
      <w:r w:rsidR="00A41AD3">
        <w:br/>
        <w:t>Barva:</w:t>
      </w:r>
      <w:r w:rsidR="00A41AD3">
        <w:tab/>
      </w:r>
      <w:r w:rsidR="00A41AD3">
        <w:tab/>
      </w:r>
      <w:r w:rsidR="00A41AD3">
        <w:tab/>
      </w:r>
      <w:r w:rsidR="00A41AD3">
        <w:tab/>
      </w:r>
      <w:r w:rsidR="00701B79">
        <w:tab/>
      </w:r>
      <w:r w:rsidR="00701B79">
        <w:tab/>
      </w:r>
      <w:r w:rsidR="00D05BD6">
        <w:t>světle zelená až šedá</w:t>
      </w:r>
      <w:r w:rsidR="00C949BE">
        <w:br/>
        <w:t>Vůně</w:t>
      </w:r>
      <w:r w:rsidR="00A41AD3" w:rsidRPr="00A41AD3">
        <w:t>:</w:t>
      </w:r>
      <w:r w:rsidR="00A41AD3">
        <w:tab/>
      </w:r>
      <w:r w:rsidR="00A41AD3">
        <w:tab/>
      </w:r>
      <w:r w:rsidR="00A41AD3">
        <w:tab/>
      </w:r>
      <w:r w:rsidR="00C949BE">
        <w:tab/>
        <w:t xml:space="preserve">            </w:t>
      </w:r>
      <w:r w:rsidR="00C949BE">
        <w:tab/>
        <w:t xml:space="preserve">po </w:t>
      </w:r>
      <w:r w:rsidR="00D05BD6">
        <w:t xml:space="preserve">použitém </w:t>
      </w:r>
      <w:r w:rsidR="00C949BE">
        <w:t>parfému</w:t>
      </w:r>
      <w:r w:rsidR="00EF7FF8">
        <w:t xml:space="preserve"> </w:t>
      </w:r>
    </w:p>
    <w:p w:rsidR="00C83574" w:rsidRDefault="00C83574" w:rsidP="00C83574">
      <w:pPr>
        <w:ind w:left="705"/>
      </w:pPr>
      <w:r w:rsidRPr="00C83574">
        <w:t xml:space="preserve"> pH                                                             </w:t>
      </w:r>
      <w:r>
        <w:t xml:space="preserve"> </w:t>
      </w:r>
      <w:r w:rsidR="00D05BD6">
        <w:t xml:space="preserve">  Nepoužitelné</w:t>
      </w:r>
    </w:p>
    <w:p w:rsidR="00A41AD3" w:rsidRDefault="00C5573B" w:rsidP="00C83574">
      <w:pPr>
        <w:ind w:left="705"/>
      </w:pPr>
      <w:r w:rsidRPr="00C83574">
        <w:t>T</w:t>
      </w:r>
      <w:r w:rsidRPr="00C5573B">
        <w:t>eplota varu při atmosférickém tlaku:</w:t>
      </w:r>
      <w:r>
        <w:rPr>
          <w:b/>
          <w:sz w:val="24"/>
          <w:szCs w:val="24"/>
        </w:rPr>
        <w:tab/>
      </w:r>
      <w:r w:rsidR="007A7B44" w:rsidRPr="007A7B44">
        <w:t>Nepoužitelné *</w:t>
      </w:r>
      <w:r>
        <w:br/>
      </w:r>
      <w:r w:rsidRPr="00C5573B">
        <w:t>Tlak páry při 20 ° C: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573B">
        <w:t>Nepoužitelné</w:t>
      </w:r>
      <w:r>
        <w:t xml:space="preserve"> </w:t>
      </w:r>
      <w:r w:rsidRPr="00C5573B">
        <w:t>*</w:t>
      </w:r>
      <w:r>
        <w:br/>
      </w:r>
      <w:r w:rsidR="00D05BD6">
        <w:lastRenderedPageBreak/>
        <w:t xml:space="preserve">    </w:t>
      </w:r>
      <w:r w:rsidRPr="00C5573B">
        <w:t>Tlak páry při 50 ° C: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A7B44" w:rsidRPr="007A7B44">
        <w:t>Nepoužitelné *</w:t>
      </w:r>
      <w:r w:rsidR="00A41AD3" w:rsidRPr="00A41AD3">
        <w:rPr>
          <w:b/>
          <w:sz w:val="24"/>
          <w:szCs w:val="24"/>
        </w:rPr>
        <w:br/>
      </w:r>
      <w:r>
        <w:tab/>
      </w:r>
      <w:r w:rsidR="00D05BD6">
        <w:t xml:space="preserve">     </w:t>
      </w:r>
      <w:r w:rsidRPr="00C5573B">
        <w:t>Rychlost odpařování při 20 ° C:</w:t>
      </w:r>
      <w:r>
        <w:tab/>
      </w:r>
      <w:r w:rsidR="00D05BD6">
        <w:t xml:space="preserve">   </w:t>
      </w:r>
      <w:r>
        <w:tab/>
      </w:r>
      <w:r w:rsidR="00D05BD6">
        <w:t xml:space="preserve">            </w:t>
      </w:r>
      <w:r w:rsidRPr="00C5573B">
        <w:t>Nepoužitelné</w:t>
      </w:r>
      <w:r>
        <w:t xml:space="preserve"> </w:t>
      </w:r>
      <w:r w:rsidRPr="00C5573B">
        <w:t>*</w:t>
      </w:r>
    </w:p>
    <w:p w:rsidR="002D07FA" w:rsidRDefault="00D05BD6" w:rsidP="00C83574">
      <w:pPr>
        <w:ind w:left="705"/>
      </w:pPr>
      <w:r>
        <w:t xml:space="preserve">     </w:t>
      </w:r>
      <w:r w:rsidR="00EF1453" w:rsidRPr="00EF1453">
        <w:t>Relativní hustota při 20 ° C:</w:t>
      </w:r>
      <w:r w:rsidR="00EF1453">
        <w:tab/>
      </w:r>
      <w:r w:rsidR="00EF1453">
        <w:tab/>
      </w:r>
      <w:r w:rsidR="00EF1453">
        <w:tab/>
      </w:r>
      <w:r w:rsidR="00EF1453" w:rsidRPr="00EF1453">
        <w:t>Nepoužitelná *</w:t>
      </w:r>
      <w:r w:rsidR="00EF1453">
        <w:br/>
      </w:r>
      <w:r>
        <w:t xml:space="preserve">     </w:t>
      </w:r>
      <w:r w:rsidR="00EF1453" w:rsidRPr="00EF1453">
        <w:t>Kinematická viskozita při 40 ° C:</w:t>
      </w:r>
      <w:r w:rsidR="00EF1453">
        <w:tab/>
      </w:r>
      <w:r w:rsidR="00EF1453">
        <w:tab/>
      </w:r>
      <w:r>
        <w:t xml:space="preserve">            </w:t>
      </w:r>
      <w:r w:rsidR="00EF1453" w:rsidRPr="00EF1453">
        <w:t>Nepoužitelná *</w:t>
      </w:r>
      <w:r w:rsidR="00EF1453">
        <w:br/>
      </w:r>
      <w:r>
        <w:t xml:space="preserve">     Hustota </w:t>
      </w:r>
      <w:r w:rsidR="00EF1453" w:rsidRPr="00EF1453">
        <w:t>při 20 ° C:</w:t>
      </w:r>
      <w:r w:rsidR="00EF1453">
        <w:tab/>
      </w:r>
      <w:r w:rsidR="00EF1453">
        <w:tab/>
      </w:r>
      <w:r w:rsidR="00EF1453">
        <w:tab/>
      </w:r>
      <w:r>
        <w:t xml:space="preserve">                        2 g/cm</w:t>
      </w:r>
      <w:r>
        <w:rPr>
          <w:rFonts w:cs="Arial"/>
        </w:rPr>
        <w:t>³</w:t>
      </w:r>
      <w:r w:rsidR="00EF1453">
        <w:br/>
      </w:r>
      <w:r>
        <w:t xml:space="preserve">     </w:t>
      </w:r>
      <w:r w:rsidR="00EF1453" w:rsidRPr="00EF1453">
        <w:t>Rozdělovací koeficient n-oktanol / voda 20 ° C:</w:t>
      </w:r>
      <w:r w:rsidR="00EF1453">
        <w:tab/>
        <w:t xml:space="preserve">Nepoužitelný </w:t>
      </w:r>
      <w:r w:rsidR="00EF1453" w:rsidRPr="00EF1453">
        <w:t>*</w:t>
      </w:r>
      <w:r w:rsidR="009134F5">
        <w:br/>
      </w:r>
      <w:r>
        <w:t xml:space="preserve">     </w:t>
      </w:r>
      <w:r w:rsidR="009134F5" w:rsidRPr="009134F5">
        <w:t>Rozpustnost ve vodě při teplotě 20 ° C:</w:t>
      </w:r>
      <w:r w:rsidR="009134F5">
        <w:tab/>
      </w:r>
      <w:r>
        <w:t xml:space="preserve">            Nerozpustný</w:t>
      </w:r>
      <w:r w:rsidR="009134F5">
        <w:br/>
      </w:r>
      <w:r>
        <w:t xml:space="preserve">     </w:t>
      </w:r>
      <w:r w:rsidR="002D07FA" w:rsidRPr="002D07FA">
        <w:t>Bod tání / bod tuhnutí:</w:t>
      </w:r>
      <w:r w:rsidR="00C83574">
        <w:tab/>
      </w:r>
      <w:r w:rsidR="00C83574">
        <w:tab/>
      </w:r>
      <w:r>
        <w:t xml:space="preserve">       </w:t>
      </w:r>
      <w:r w:rsidR="00C83574">
        <w:tab/>
      </w:r>
      <w:r>
        <w:t xml:space="preserve">           </w:t>
      </w:r>
      <w:r>
        <w:rPr>
          <w:rFonts w:cs="Arial"/>
        </w:rPr>
        <w:t>1340</w:t>
      </w:r>
      <w:r w:rsidR="00C83574" w:rsidRPr="001E2E33">
        <w:t xml:space="preserve"> ºC</w:t>
      </w:r>
      <w:r w:rsidR="002D07FA">
        <w:rPr>
          <w:b/>
          <w:sz w:val="24"/>
          <w:szCs w:val="24"/>
        </w:rPr>
        <w:br/>
      </w:r>
      <w:r>
        <w:t xml:space="preserve">     </w:t>
      </w:r>
      <w:r w:rsidR="002D07FA" w:rsidRPr="002D07FA">
        <w:t>Bod vzplanutí:</w:t>
      </w:r>
      <w:r w:rsidR="002D07FA">
        <w:rPr>
          <w:b/>
          <w:sz w:val="24"/>
          <w:szCs w:val="24"/>
        </w:rPr>
        <w:tab/>
      </w:r>
      <w:r w:rsidR="002D07FA">
        <w:rPr>
          <w:b/>
          <w:sz w:val="24"/>
          <w:szCs w:val="24"/>
        </w:rPr>
        <w:tab/>
      </w:r>
      <w:r w:rsidR="002D07FA">
        <w:rPr>
          <w:b/>
          <w:sz w:val="24"/>
          <w:szCs w:val="24"/>
        </w:rPr>
        <w:tab/>
      </w:r>
      <w:r w:rsidR="002D07FA">
        <w:rPr>
          <w:b/>
          <w:sz w:val="24"/>
          <w:szCs w:val="24"/>
        </w:rPr>
        <w:tab/>
      </w:r>
      <w:r w:rsidR="002D07FA">
        <w:rPr>
          <w:b/>
          <w:sz w:val="24"/>
          <w:szCs w:val="24"/>
        </w:rPr>
        <w:tab/>
      </w:r>
      <w:r>
        <w:rPr>
          <w:rFonts w:cs="Arial"/>
        </w:rPr>
        <w:t xml:space="preserve">do </w:t>
      </w:r>
      <w:r>
        <w:t>6</w:t>
      </w:r>
      <w:r w:rsidR="00C83574">
        <w:t>00</w:t>
      </w:r>
      <w:r w:rsidR="001E2E33" w:rsidRPr="001E2E33">
        <w:t xml:space="preserve"> ºC</w:t>
      </w:r>
      <w:r w:rsidR="002D07FA">
        <w:br/>
      </w:r>
      <w:r>
        <w:t xml:space="preserve">     </w:t>
      </w:r>
      <w:r w:rsidR="002D07FA" w:rsidRPr="002D07FA">
        <w:t>Teplota samovznícení:</w:t>
      </w:r>
      <w:r w:rsidR="002D07FA">
        <w:tab/>
      </w:r>
      <w:r w:rsidR="002D07FA">
        <w:tab/>
      </w:r>
      <w:r w:rsidR="002D07FA">
        <w:tab/>
      </w:r>
      <w:r>
        <w:t xml:space="preserve">            </w:t>
      </w:r>
      <w:r w:rsidR="00C83574">
        <w:t>není k dispozci</w:t>
      </w:r>
      <w:r w:rsidR="002D07FA">
        <w:br/>
      </w:r>
      <w:r>
        <w:t xml:space="preserve">     </w:t>
      </w:r>
      <w:r w:rsidR="002D07FA" w:rsidRPr="002D07FA">
        <w:t>Spodní hranice hořlavosti:</w:t>
      </w:r>
      <w:r w:rsidR="002D07FA">
        <w:tab/>
      </w:r>
      <w:r w:rsidR="002D07FA">
        <w:tab/>
      </w:r>
      <w:r w:rsidR="002D07FA">
        <w:tab/>
      </w:r>
      <w:r w:rsidR="002D07FA" w:rsidRPr="002D07FA">
        <w:t>Nepoužitelná *</w:t>
      </w:r>
      <w:r w:rsidR="002D07FA">
        <w:br/>
      </w:r>
      <w:r>
        <w:t xml:space="preserve">     </w:t>
      </w:r>
      <w:r w:rsidR="002D07FA" w:rsidRPr="002D07FA">
        <w:t>Horní mez hořlavosti:</w:t>
      </w:r>
      <w:r w:rsidR="002D07FA">
        <w:tab/>
      </w:r>
      <w:r w:rsidR="002D07FA">
        <w:tab/>
      </w:r>
      <w:r w:rsidR="002D07FA">
        <w:tab/>
      </w:r>
      <w:r w:rsidR="002D07FA">
        <w:tab/>
      </w:r>
      <w:r w:rsidR="002D07FA" w:rsidRPr="002D07FA">
        <w:t>Nepoužitelná *</w:t>
      </w:r>
    </w:p>
    <w:p w:rsidR="00D05BD6" w:rsidRPr="00A511D0" w:rsidRDefault="002D07FA" w:rsidP="003118AC">
      <w:pPr>
        <w:pStyle w:val="Nadpis2"/>
        <w:rPr>
          <w:b/>
          <w:szCs w:val="22"/>
        </w:rPr>
      </w:pPr>
      <w:r w:rsidRPr="002D07FA">
        <w:rPr>
          <w:b/>
          <w:sz w:val="24"/>
          <w:szCs w:val="24"/>
        </w:rPr>
        <w:t>Další informace:</w:t>
      </w:r>
      <w:r>
        <w:rPr>
          <w:b/>
          <w:sz w:val="24"/>
          <w:szCs w:val="24"/>
        </w:rPr>
        <w:br/>
      </w:r>
      <w:r w:rsidR="00A511D0" w:rsidRPr="00A511D0">
        <w:rPr>
          <w:rFonts w:cs="Arial"/>
          <w:szCs w:val="22"/>
          <w:lang w:eastAsia="cs-CZ"/>
        </w:rPr>
        <w:t xml:space="preserve">Sypná hmotnost: </w:t>
      </w:r>
      <w:r w:rsidR="00A511D0">
        <w:rPr>
          <w:rFonts w:cs="Arial"/>
          <w:szCs w:val="22"/>
          <w:lang w:eastAsia="cs-CZ"/>
        </w:rPr>
        <w:t xml:space="preserve">                                                </w:t>
      </w:r>
      <w:r w:rsidR="00A511D0" w:rsidRPr="00A511D0">
        <w:rPr>
          <w:rFonts w:cs="Arial"/>
          <w:szCs w:val="22"/>
          <w:lang w:eastAsia="cs-CZ"/>
        </w:rPr>
        <w:t>500 - 600 kg/m3</w:t>
      </w:r>
    </w:p>
    <w:p w:rsidR="00C5573B" w:rsidRPr="002D07FA" w:rsidRDefault="003118AC" w:rsidP="00A511D0">
      <w:pPr>
        <w:pStyle w:val="Nadpis2"/>
        <w:numPr>
          <w:ilvl w:val="0"/>
          <w:numId w:val="0"/>
        </w:numPr>
        <w:ind w:left="1022"/>
        <w:rPr>
          <w:b/>
          <w:sz w:val="24"/>
          <w:szCs w:val="24"/>
        </w:rPr>
      </w:pPr>
      <w:r w:rsidRPr="003118AC">
        <w:rPr>
          <w:b/>
          <w:sz w:val="24"/>
          <w:szCs w:val="24"/>
        </w:rPr>
        <w:t xml:space="preserve">* </w:t>
      </w:r>
      <w:r w:rsidRPr="003118AC">
        <w:rPr>
          <w:szCs w:val="22"/>
        </w:rPr>
        <w:t xml:space="preserve">Není relevantní </w:t>
      </w:r>
      <w:r>
        <w:rPr>
          <w:szCs w:val="22"/>
        </w:rPr>
        <w:t>vzhledem k povaze výrobku, neposkytuje informací ohledně vlastností nebezpečí</w:t>
      </w:r>
      <w:r w:rsidRPr="003118AC">
        <w:rPr>
          <w:szCs w:val="22"/>
        </w:rPr>
        <w:t>.</w:t>
      </w:r>
      <w:r w:rsidR="00EF1453" w:rsidRPr="002D07FA">
        <w:rPr>
          <w:b/>
          <w:sz w:val="24"/>
          <w:szCs w:val="24"/>
        </w:rPr>
        <w:br/>
      </w:r>
    </w:p>
    <w:p w:rsidR="00B64EFA" w:rsidRDefault="00307FCE" w:rsidP="00307FCE">
      <w:pPr>
        <w:pStyle w:val="Nadpis1"/>
      </w:pPr>
      <w:r w:rsidRPr="00307FCE">
        <w:t>Stálost a reaktivita</w:t>
      </w:r>
    </w:p>
    <w:p w:rsidR="00307FCE" w:rsidRDefault="00307FCE" w:rsidP="00307FCE">
      <w:pPr>
        <w:pStyle w:val="Nadpis2"/>
      </w:pPr>
      <w:r>
        <w:rPr>
          <w:b/>
          <w:sz w:val="24"/>
          <w:szCs w:val="24"/>
        </w:rPr>
        <w:t>Reaktivita</w:t>
      </w:r>
      <w:r>
        <w:rPr>
          <w:b/>
          <w:sz w:val="24"/>
          <w:szCs w:val="24"/>
        </w:rPr>
        <w:br/>
      </w:r>
      <w:r>
        <w:rPr>
          <w:rStyle w:val="hps"/>
        </w:rPr>
        <w:t>Žádné</w:t>
      </w:r>
      <w:r>
        <w:t xml:space="preserve"> </w:t>
      </w:r>
      <w:r>
        <w:rPr>
          <w:rStyle w:val="hps"/>
        </w:rPr>
        <w:t>nebezpečné reakce</w:t>
      </w:r>
      <w:r>
        <w:t xml:space="preserve"> </w:t>
      </w:r>
      <w:r>
        <w:rPr>
          <w:rStyle w:val="hps"/>
        </w:rPr>
        <w:t>se neočekávají</w:t>
      </w:r>
      <w:r w:rsidR="00C83574">
        <w:rPr>
          <w:rStyle w:val="hps"/>
        </w:rPr>
        <w:t>.</w:t>
      </w:r>
    </w:p>
    <w:p w:rsidR="00307FCE" w:rsidRDefault="00307FCE" w:rsidP="00307FCE">
      <w:pPr>
        <w:pStyle w:val="Nadpis2"/>
        <w:rPr>
          <w:szCs w:val="22"/>
        </w:rPr>
      </w:pPr>
      <w:r w:rsidRPr="00307FCE">
        <w:rPr>
          <w:b/>
          <w:sz w:val="24"/>
          <w:szCs w:val="24"/>
        </w:rPr>
        <w:t>Chemická stabilita:</w:t>
      </w:r>
      <w:r>
        <w:rPr>
          <w:b/>
          <w:sz w:val="24"/>
          <w:szCs w:val="24"/>
        </w:rPr>
        <w:br/>
      </w:r>
      <w:r w:rsidRPr="00307FCE">
        <w:rPr>
          <w:szCs w:val="22"/>
        </w:rPr>
        <w:t>Chemicky stabilní za podmínek skladování, manipulace a použití.</w:t>
      </w:r>
    </w:p>
    <w:p w:rsidR="00EE628F" w:rsidRPr="00EE628F" w:rsidRDefault="00307FCE" w:rsidP="00307FCE">
      <w:pPr>
        <w:pStyle w:val="Nadpis2"/>
        <w:rPr>
          <w:b/>
          <w:sz w:val="24"/>
          <w:szCs w:val="24"/>
        </w:rPr>
      </w:pPr>
      <w:r w:rsidRPr="00307FCE">
        <w:rPr>
          <w:b/>
          <w:sz w:val="24"/>
          <w:szCs w:val="24"/>
        </w:rPr>
        <w:t>Možnost nebezpečných reakcí:</w:t>
      </w:r>
      <w:r>
        <w:rPr>
          <w:b/>
          <w:sz w:val="24"/>
          <w:szCs w:val="24"/>
        </w:rPr>
        <w:br/>
      </w:r>
      <w:r w:rsidRPr="00EE628F">
        <w:rPr>
          <w:szCs w:val="22"/>
        </w:rPr>
        <w:t>Za stanovených podmínek</w:t>
      </w:r>
      <w:r w:rsidR="00EE628F">
        <w:rPr>
          <w:szCs w:val="22"/>
        </w:rPr>
        <w:t xml:space="preserve"> se neočekávají</w:t>
      </w:r>
      <w:r w:rsidRPr="00EE628F">
        <w:rPr>
          <w:szCs w:val="22"/>
        </w:rPr>
        <w:t xml:space="preserve"> nebezpečné re</w:t>
      </w:r>
      <w:r w:rsidR="00C83574">
        <w:rPr>
          <w:szCs w:val="22"/>
        </w:rPr>
        <w:t>akce.</w:t>
      </w:r>
    </w:p>
    <w:p w:rsidR="00EE628F" w:rsidRDefault="00EE628F" w:rsidP="00EE628F">
      <w:pPr>
        <w:pStyle w:val="Nadpis2"/>
        <w:rPr>
          <w:b/>
          <w:sz w:val="24"/>
          <w:szCs w:val="24"/>
        </w:rPr>
      </w:pPr>
      <w:r w:rsidRPr="00EE628F">
        <w:rPr>
          <w:b/>
          <w:sz w:val="24"/>
          <w:szCs w:val="24"/>
        </w:rPr>
        <w:t>Podmín</w:t>
      </w:r>
      <w:r w:rsidR="00732EF0">
        <w:rPr>
          <w:b/>
          <w:sz w:val="24"/>
          <w:szCs w:val="24"/>
        </w:rPr>
        <w:t>ky, kterým je nutno zabránit</w:t>
      </w:r>
      <w:r w:rsidRPr="00EE628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 w:rsidR="00161D47">
        <w:rPr>
          <w:szCs w:val="22"/>
        </w:rPr>
        <w:t>za normálních podmínek je produkt stabilní. Chraňte před plameny, přehřátím,vlhkem.</w:t>
      </w:r>
    </w:p>
    <w:p w:rsidR="00820704" w:rsidRDefault="00820704" w:rsidP="00820704">
      <w:pPr>
        <w:pStyle w:val="Nadpis2"/>
        <w:rPr>
          <w:b/>
          <w:sz w:val="24"/>
          <w:szCs w:val="24"/>
        </w:rPr>
      </w:pPr>
      <w:r w:rsidRPr="00820704">
        <w:rPr>
          <w:b/>
          <w:sz w:val="24"/>
          <w:szCs w:val="24"/>
        </w:rPr>
        <w:t>Neslučitelné materiály:</w:t>
      </w:r>
    </w:p>
    <w:p w:rsidR="00161D47" w:rsidRPr="00161D47" w:rsidRDefault="00161D47" w:rsidP="00161D47">
      <w:pPr>
        <w:ind w:left="1022"/>
      </w:pPr>
      <w:r>
        <w:t>Chraňte před silnými kyselinami, zásadami a oxidačními činidly.</w:t>
      </w:r>
    </w:p>
    <w:p w:rsidR="00EB0DB1" w:rsidRPr="00E50006" w:rsidRDefault="00813C49" w:rsidP="00E50006">
      <w:pPr>
        <w:pStyle w:val="Nadpis2"/>
        <w:rPr>
          <w:b/>
          <w:sz w:val="24"/>
          <w:szCs w:val="24"/>
        </w:rPr>
      </w:pPr>
      <w:r>
        <w:rPr>
          <w:b/>
          <w:sz w:val="24"/>
          <w:szCs w:val="24"/>
        </w:rPr>
        <w:t>Nebezpečné produkty rozkladu</w:t>
      </w:r>
      <w:r w:rsidRPr="00813C49">
        <w:rPr>
          <w:b/>
          <w:sz w:val="24"/>
          <w:szCs w:val="24"/>
        </w:rPr>
        <w:t>:</w:t>
      </w:r>
      <w:r w:rsidR="00EE628F" w:rsidRPr="00813C49">
        <w:rPr>
          <w:b/>
          <w:sz w:val="24"/>
          <w:szCs w:val="24"/>
        </w:rPr>
        <w:br/>
      </w:r>
      <w:r w:rsidR="00161D47">
        <w:t xml:space="preserve">Za normálního zůsobu použití nevznikají. Při požáru- vysokých teplotách se </w:t>
      </w:r>
      <w:r w:rsidRPr="00813C49">
        <w:t xml:space="preserve"> může uvolnit: oxid </w:t>
      </w:r>
      <w:r w:rsidR="00DA61E8">
        <w:t xml:space="preserve">uhličitý (CO2), </w:t>
      </w:r>
      <w:r w:rsidR="00161D47">
        <w:rPr>
          <w:szCs w:val="22"/>
        </w:rPr>
        <w:t>oxid</w:t>
      </w:r>
      <w:r w:rsidR="00DA61E8" w:rsidRPr="00DA61E8">
        <w:rPr>
          <w:szCs w:val="22"/>
        </w:rPr>
        <w:t xml:space="preserve"> uhelnatý</w:t>
      </w:r>
      <w:r w:rsidRPr="00813C49">
        <w:t xml:space="preserve"> a jiné organické sloučeniny.</w:t>
      </w:r>
    </w:p>
    <w:p w:rsidR="00307FCE" w:rsidRPr="00813C49" w:rsidRDefault="00307FCE" w:rsidP="00E50006">
      <w:pPr>
        <w:pStyle w:val="Nadpis2"/>
        <w:numPr>
          <w:ilvl w:val="0"/>
          <w:numId w:val="0"/>
        </w:numPr>
        <w:ind w:left="1022" w:hanging="738"/>
        <w:rPr>
          <w:b/>
          <w:sz w:val="24"/>
          <w:szCs w:val="24"/>
        </w:rPr>
      </w:pPr>
    </w:p>
    <w:p w:rsidR="00A82281" w:rsidRDefault="00813C49" w:rsidP="00813C49">
      <w:pPr>
        <w:pStyle w:val="Nadpis1"/>
      </w:pPr>
      <w:r w:rsidRPr="00813C49">
        <w:lastRenderedPageBreak/>
        <w:t>Toxikologické informace</w:t>
      </w:r>
    </w:p>
    <w:p w:rsidR="00A365BD" w:rsidRDefault="00813C49" w:rsidP="00E50006">
      <w:pPr>
        <w:pStyle w:val="Nadpis2"/>
        <w:ind w:left="993"/>
        <w:rPr>
          <w:szCs w:val="22"/>
        </w:rPr>
      </w:pPr>
      <w:r w:rsidRPr="00813C49">
        <w:rPr>
          <w:b/>
          <w:sz w:val="24"/>
          <w:szCs w:val="24"/>
        </w:rPr>
        <w:t>Informace o toxikologických účincích:</w:t>
      </w:r>
      <w:r>
        <w:rPr>
          <w:b/>
          <w:sz w:val="24"/>
          <w:szCs w:val="24"/>
        </w:rPr>
        <w:br/>
      </w:r>
      <w:r w:rsidR="00161D47">
        <w:rPr>
          <w:szCs w:val="22"/>
        </w:rPr>
        <w:t xml:space="preserve">Pro směs nejsou žádné toxikologické údaje </w:t>
      </w:r>
      <w:r w:rsidR="00E50006" w:rsidRPr="00E50006">
        <w:rPr>
          <w:szCs w:val="22"/>
        </w:rPr>
        <w:t xml:space="preserve"> k</w:t>
      </w:r>
      <w:r w:rsidR="00E50006">
        <w:rPr>
          <w:szCs w:val="22"/>
        </w:rPr>
        <w:t> </w:t>
      </w:r>
      <w:r w:rsidR="00E50006" w:rsidRPr="00E50006">
        <w:rPr>
          <w:szCs w:val="22"/>
        </w:rPr>
        <w:t>dispozici</w:t>
      </w:r>
      <w:r w:rsidR="00E50006">
        <w:rPr>
          <w:szCs w:val="22"/>
        </w:rPr>
        <w:t>.</w:t>
      </w:r>
    </w:p>
    <w:p w:rsidR="00161D47" w:rsidRDefault="00161D47" w:rsidP="00403E54">
      <w:pPr>
        <w:pStyle w:val="Nadpis2"/>
        <w:numPr>
          <w:ilvl w:val="0"/>
          <w:numId w:val="0"/>
        </w:numPr>
        <w:rPr>
          <w:szCs w:val="22"/>
        </w:rPr>
      </w:pPr>
    </w:p>
    <w:p w:rsidR="00161D47" w:rsidRPr="00161D47" w:rsidRDefault="00161D47" w:rsidP="00A043B8">
      <w:pPr>
        <w:pStyle w:val="Nadpis2"/>
        <w:numPr>
          <w:ilvl w:val="0"/>
          <w:numId w:val="0"/>
        </w:numPr>
        <w:ind w:left="1022" w:hanging="738"/>
        <w:rPr>
          <w:b/>
          <w:szCs w:val="22"/>
        </w:rPr>
      </w:pPr>
      <w:r w:rsidRPr="00161D47">
        <w:rPr>
          <w:b/>
          <w:szCs w:val="22"/>
        </w:rPr>
        <w:t>Akutní toxicita</w:t>
      </w:r>
    </w:p>
    <w:p w:rsidR="00BF1D02" w:rsidRDefault="00DF3E93" w:rsidP="00A043B8">
      <w:pPr>
        <w:pStyle w:val="Nadpis2"/>
        <w:numPr>
          <w:ilvl w:val="0"/>
          <w:numId w:val="0"/>
        </w:numPr>
        <w:ind w:left="1022" w:hanging="738"/>
        <w:rPr>
          <w:szCs w:val="22"/>
        </w:rPr>
      </w:pPr>
      <w:r>
        <w:rPr>
          <w:szCs w:val="22"/>
        </w:rPr>
        <w:t>Na</w:t>
      </w:r>
      <w:r w:rsidRPr="00DF3E93">
        <w:rPr>
          <w:szCs w:val="22"/>
        </w:rPr>
        <w:t xml:space="preserve"> základě dostupných údajů nejsou kritéri</w:t>
      </w:r>
      <w:r w:rsidR="00161D47">
        <w:rPr>
          <w:szCs w:val="22"/>
        </w:rPr>
        <w:t>a pro klasifikaci splněna.</w:t>
      </w:r>
      <w:r w:rsidR="002B0214">
        <w:rPr>
          <w:szCs w:val="22"/>
        </w:rPr>
        <w:t xml:space="preserve"> </w:t>
      </w:r>
    </w:p>
    <w:p w:rsidR="009B0B5F" w:rsidRDefault="009B0B5F" w:rsidP="009B0B5F">
      <w:r>
        <w:t xml:space="preserve">     Akutni toxicita komponent :</w:t>
      </w:r>
    </w:p>
    <w:p w:rsidR="009B0B5F" w:rsidRDefault="009B0B5F" w:rsidP="009B0B5F">
      <w:pPr>
        <w:autoSpaceDE w:val="0"/>
        <w:autoSpaceDN w:val="0"/>
        <w:adjustRightInd w:val="0"/>
        <w:spacing w:before="0" w:after="0" w:line="240" w:lineRule="auto"/>
        <w:rPr>
          <w:rFonts w:cs="Arial"/>
          <w:sz w:val="18"/>
          <w:szCs w:val="18"/>
          <w:lang w:eastAsia="cs-CZ"/>
        </w:rPr>
      </w:pPr>
      <w:r>
        <w:t xml:space="preserve">    Křemičitan hlinito-sodný :          </w:t>
      </w:r>
      <w:r>
        <w:rPr>
          <w:rFonts w:cs="Arial"/>
          <w:sz w:val="18"/>
          <w:szCs w:val="18"/>
          <w:lang w:eastAsia="cs-CZ"/>
        </w:rPr>
        <w:t>LD50, orálně: krysa &gt; 10000 mg/kg</w:t>
      </w:r>
    </w:p>
    <w:p w:rsidR="00A6696D" w:rsidRDefault="00A6696D" w:rsidP="00A6696D">
      <w:pPr>
        <w:autoSpaceDE w:val="0"/>
        <w:autoSpaceDN w:val="0"/>
        <w:adjustRightInd w:val="0"/>
        <w:spacing w:before="0" w:after="0" w:line="240" w:lineRule="auto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 xml:space="preserve">                                                                  </w:t>
      </w:r>
      <w:r w:rsidR="009B0B5F">
        <w:rPr>
          <w:rFonts w:cs="Arial"/>
          <w:sz w:val="18"/>
          <w:szCs w:val="18"/>
          <w:lang w:eastAsia="cs-CZ"/>
        </w:rPr>
        <w:t>LD50, dermálně: králík &gt; 2000 mg/kg</w:t>
      </w:r>
    </w:p>
    <w:p w:rsidR="009B0B5F" w:rsidRPr="00A6696D" w:rsidRDefault="00A6696D" w:rsidP="00A6696D">
      <w:pPr>
        <w:autoSpaceDE w:val="0"/>
        <w:autoSpaceDN w:val="0"/>
        <w:adjustRightInd w:val="0"/>
        <w:spacing w:before="0" w:after="0" w:line="240" w:lineRule="auto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 xml:space="preserve">                                                                  </w:t>
      </w:r>
      <w:r w:rsidR="009B0B5F">
        <w:rPr>
          <w:rFonts w:cs="Arial"/>
          <w:sz w:val="18"/>
          <w:szCs w:val="18"/>
          <w:lang w:eastAsia="cs-CZ"/>
        </w:rPr>
        <w:t>LC50, inhalačně, pro aerosoly nebo částice: krysa &gt; 18,3 mg/kg</w:t>
      </w:r>
      <w:r w:rsidR="009B0B5F">
        <w:t xml:space="preserve"> </w:t>
      </w:r>
    </w:p>
    <w:p w:rsidR="00161D47" w:rsidRDefault="00161D47" w:rsidP="00161D47"/>
    <w:p w:rsidR="00161D47" w:rsidRPr="00722D16" w:rsidRDefault="00722D16" w:rsidP="00161D47">
      <w:pPr>
        <w:rPr>
          <w:b/>
        </w:rPr>
      </w:pPr>
      <w:r w:rsidRPr="00722D16">
        <w:rPr>
          <w:b/>
        </w:rPr>
        <w:t xml:space="preserve">     </w:t>
      </w:r>
      <w:r>
        <w:rPr>
          <w:b/>
        </w:rPr>
        <w:t>Žír</w:t>
      </w:r>
      <w:r w:rsidRPr="00722D16">
        <w:rPr>
          <w:b/>
        </w:rPr>
        <w:t xml:space="preserve">avost / dráždivost pro kůži </w:t>
      </w:r>
    </w:p>
    <w:p w:rsidR="00BF1D02" w:rsidRDefault="005B17A1" w:rsidP="00722D16">
      <w:pPr>
        <w:pStyle w:val="Nadpis2"/>
        <w:numPr>
          <w:ilvl w:val="0"/>
          <w:numId w:val="0"/>
        </w:numPr>
        <w:ind w:left="1022" w:hanging="738"/>
        <w:rPr>
          <w:szCs w:val="22"/>
        </w:rPr>
      </w:pPr>
      <w:r w:rsidRPr="005B17A1">
        <w:rPr>
          <w:szCs w:val="22"/>
        </w:rPr>
        <w:t>Na základě dostupných údajů nejsou kr</w:t>
      </w:r>
      <w:r w:rsidR="00722D16">
        <w:rPr>
          <w:szCs w:val="22"/>
        </w:rPr>
        <w:t>itéria pro klasifikaci splněna.</w:t>
      </w:r>
    </w:p>
    <w:p w:rsidR="00BF1D02" w:rsidRPr="00722D16" w:rsidRDefault="00722D16" w:rsidP="00722D16">
      <w:pPr>
        <w:pStyle w:val="Nadpis2"/>
        <w:numPr>
          <w:ilvl w:val="0"/>
          <w:numId w:val="0"/>
        </w:numPr>
        <w:ind w:left="1022" w:hanging="738"/>
        <w:rPr>
          <w:b/>
          <w:szCs w:val="22"/>
        </w:rPr>
      </w:pPr>
      <w:r w:rsidRPr="00722D16">
        <w:rPr>
          <w:b/>
          <w:szCs w:val="22"/>
        </w:rPr>
        <w:t>Vážné poškození</w:t>
      </w:r>
      <w:r>
        <w:rPr>
          <w:b/>
          <w:szCs w:val="22"/>
        </w:rPr>
        <w:t xml:space="preserve"> </w:t>
      </w:r>
      <w:r w:rsidRPr="00722D16">
        <w:rPr>
          <w:b/>
          <w:szCs w:val="22"/>
        </w:rPr>
        <w:t>/</w:t>
      </w:r>
      <w:r>
        <w:rPr>
          <w:b/>
          <w:szCs w:val="22"/>
        </w:rPr>
        <w:t xml:space="preserve"> </w:t>
      </w:r>
      <w:r w:rsidRPr="00722D16">
        <w:rPr>
          <w:b/>
          <w:szCs w:val="22"/>
        </w:rPr>
        <w:t>podráždění očí</w:t>
      </w:r>
    </w:p>
    <w:p w:rsidR="00981D47" w:rsidRDefault="00722D16" w:rsidP="00722D16">
      <w:r>
        <w:t xml:space="preserve">     </w:t>
      </w:r>
      <w:r w:rsidR="00E50006" w:rsidRPr="00E50006">
        <w:t>Na základě dostupných údajů nejsou klasifikač</w:t>
      </w:r>
      <w:r>
        <w:t>ní kritéria splněna.</w:t>
      </w:r>
    </w:p>
    <w:p w:rsidR="00722D16" w:rsidRDefault="00722D16" w:rsidP="00722D16">
      <w:pPr>
        <w:rPr>
          <w:b/>
        </w:rPr>
      </w:pPr>
      <w:r>
        <w:t xml:space="preserve">     </w:t>
      </w:r>
      <w:r w:rsidRPr="00722D16">
        <w:rPr>
          <w:b/>
        </w:rPr>
        <w:t>Senzibilizace dýchacích cest / kůže</w:t>
      </w:r>
    </w:p>
    <w:p w:rsidR="00722D16" w:rsidRDefault="00722D16" w:rsidP="00722D16">
      <w:r>
        <w:rPr>
          <w:b/>
        </w:rPr>
        <w:t xml:space="preserve">     </w:t>
      </w:r>
      <w:r w:rsidRPr="00E50006">
        <w:t>Na základě dostupných údajů nejsou klasifikač</w:t>
      </w:r>
      <w:r>
        <w:t>ní kritéria splněna.</w:t>
      </w:r>
    </w:p>
    <w:p w:rsidR="00BB47DA" w:rsidRPr="00722D16" w:rsidRDefault="00722D16" w:rsidP="00722D16">
      <w:pPr>
        <w:pStyle w:val="Nadpis2"/>
        <w:numPr>
          <w:ilvl w:val="0"/>
          <w:numId w:val="0"/>
        </w:numPr>
        <w:rPr>
          <w:b/>
          <w:szCs w:val="22"/>
        </w:rPr>
      </w:pPr>
      <w:r>
        <w:rPr>
          <w:rFonts w:eastAsia="Calibri"/>
          <w:b/>
          <w:color w:val="auto"/>
          <w:szCs w:val="22"/>
        </w:rPr>
        <w:t xml:space="preserve">  </w:t>
      </w:r>
      <w:r>
        <w:rPr>
          <w:szCs w:val="22"/>
        </w:rPr>
        <w:t xml:space="preserve">   </w:t>
      </w:r>
      <w:r w:rsidRPr="00722D16">
        <w:rPr>
          <w:b/>
          <w:szCs w:val="22"/>
        </w:rPr>
        <w:t>M</w:t>
      </w:r>
      <w:r w:rsidR="00BB47DA" w:rsidRPr="00722D16">
        <w:rPr>
          <w:b/>
          <w:szCs w:val="22"/>
        </w:rPr>
        <w:t xml:space="preserve">utagenita </w:t>
      </w:r>
      <w:r w:rsidRPr="00722D16">
        <w:rPr>
          <w:b/>
          <w:szCs w:val="22"/>
        </w:rPr>
        <w:t xml:space="preserve">v zárodečných buňkách </w:t>
      </w:r>
    </w:p>
    <w:p w:rsidR="00BB47DA" w:rsidRDefault="005B17A1" w:rsidP="00722D16">
      <w:pPr>
        <w:pStyle w:val="Nadpis2"/>
        <w:numPr>
          <w:ilvl w:val="0"/>
          <w:numId w:val="0"/>
        </w:numPr>
        <w:ind w:left="284"/>
        <w:rPr>
          <w:szCs w:val="22"/>
        </w:rPr>
      </w:pPr>
      <w:r w:rsidRPr="005B17A1">
        <w:rPr>
          <w:szCs w:val="22"/>
        </w:rPr>
        <w:t>Na základě dostupných údajů nejsou kritéri</w:t>
      </w:r>
      <w:r w:rsidR="00722D16">
        <w:rPr>
          <w:szCs w:val="22"/>
        </w:rPr>
        <w:t>a pro klasifikaci splněna.</w:t>
      </w:r>
    </w:p>
    <w:p w:rsidR="00BB47DA" w:rsidRPr="00722D16" w:rsidRDefault="00722D16" w:rsidP="00722D16">
      <w:pPr>
        <w:pStyle w:val="Nadpis2"/>
        <w:numPr>
          <w:ilvl w:val="0"/>
          <w:numId w:val="0"/>
        </w:numPr>
        <w:ind w:left="1022" w:hanging="738"/>
        <w:rPr>
          <w:b/>
          <w:szCs w:val="22"/>
        </w:rPr>
      </w:pPr>
      <w:r>
        <w:rPr>
          <w:b/>
          <w:szCs w:val="22"/>
        </w:rPr>
        <w:t xml:space="preserve">Karcinogenita </w:t>
      </w:r>
    </w:p>
    <w:p w:rsidR="00722D16" w:rsidRDefault="00722D16" w:rsidP="00722D16">
      <w:r>
        <w:t xml:space="preserve">     </w:t>
      </w:r>
      <w:r w:rsidR="00D857E4" w:rsidRPr="00D857E4">
        <w:t>Na základě dostupných údajů nejsou kr</w:t>
      </w:r>
      <w:r>
        <w:t>itéria pro klasifikaci splněna.</w:t>
      </w:r>
    </w:p>
    <w:p w:rsidR="00A84756" w:rsidRDefault="00722D16" w:rsidP="00A84756">
      <w:pPr>
        <w:spacing w:before="0"/>
        <w:rPr>
          <w:b/>
        </w:rPr>
      </w:pPr>
      <w:r>
        <w:t xml:space="preserve">     </w:t>
      </w:r>
      <w:r w:rsidRPr="00722D16">
        <w:rPr>
          <w:b/>
        </w:rPr>
        <w:t>Toxicita pro reprodukci</w:t>
      </w:r>
    </w:p>
    <w:p w:rsidR="00A84756" w:rsidRDefault="00A84756" w:rsidP="00A84756">
      <w:pPr>
        <w:spacing w:before="0"/>
      </w:pPr>
      <w:r>
        <w:rPr>
          <w:b/>
        </w:rPr>
        <w:t xml:space="preserve">     </w:t>
      </w:r>
      <w:r w:rsidRPr="00D857E4">
        <w:t>Na základě dostupných údajů nejsou kr</w:t>
      </w:r>
      <w:r>
        <w:t>itéria pro klasifikaci splněna.</w:t>
      </w:r>
    </w:p>
    <w:p w:rsidR="007D7971" w:rsidRPr="00A84756" w:rsidRDefault="00A84756" w:rsidP="00A84756">
      <w:pPr>
        <w:spacing w:before="0"/>
        <w:rPr>
          <w:b/>
        </w:rPr>
      </w:pPr>
      <w:r>
        <w:rPr>
          <w:b/>
        </w:rPr>
        <w:t xml:space="preserve">     </w:t>
      </w:r>
      <w:r w:rsidR="007D7971" w:rsidRPr="00A84756">
        <w:rPr>
          <w:b/>
        </w:rPr>
        <w:t>Toxicita pro specifické cílové orgány</w:t>
      </w:r>
      <w:r w:rsidRPr="00A84756">
        <w:rPr>
          <w:b/>
        </w:rPr>
        <w:t xml:space="preserve"> - jednorázová </w:t>
      </w:r>
      <w:r w:rsidR="007D7971" w:rsidRPr="00A84756">
        <w:rPr>
          <w:b/>
        </w:rPr>
        <w:t xml:space="preserve"> expozice</w:t>
      </w:r>
    </w:p>
    <w:p w:rsidR="001F697B" w:rsidRDefault="00D857E4" w:rsidP="00A84756">
      <w:pPr>
        <w:pStyle w:val="Nadpis2"/>
        <w:numPr>
          <w:ilvl w:val="0"/>
          <w:numId w:val="0"/>
        </w:numPr>
        <w:ind w:left="1022" w:hanging="738"/>
        <w:rPr>
          <w:szCs w:val="22"/>
        </w:rPr>
      </w:pPr>
      <w:r w:rsidRPr="00D857E4">
        <w:rPr>
          <w:szCs w:val="22"/>
        </w:rPr>
        <w:t xml:space="preserve">Na základě dostupných údajů nejsou kritéria pro klasifikaci </w:t>
      </w:r>
      <w:r w:rsidR="00A84756">
        <w:rPr>
          <w:szCs w:val="22"/>
        </w:rPr>
        <w:t>splněna.</w:t>
      </w:r>
    </w:p>
    <w:p w:rsidR="00A84756" w:rsidRPr="00A84756" w:rsidRDefault="00A84756" w:rsidP="00A84756">
      <w:pPr>
        <w:spacing w:before="0"/>
        <w:rPr>
          <w:b/>
        </w:rPr>
      </w:pPr>
      <w:r>
        <w:t xml:space="preserve">     </w:t>
      </w:r>
      <w:r w:rsidRPr="00A84756">
        <w:rPr>
          <w:b/>
        </w:rPr>
        <w:t>Toxicita pro specifické cílové orgány</w:t>
      </w:r>
      <w:r>
        <w:rPr>
          <w:b/>
        </w:rPr>
        <w:t xml:space="preserve"> - opakovaná</w:t>
      </w:r>
      <w:r w:rsidRPr="00A84756">
        <w:rPr>
          <w:b/>
        </w:rPr>
        <w:t xml:space="preserve">  expozice</w:t>
      </w:r>
    </w:p>
    <w:p w:rsidR="00A84756" w:rsidRDefault="001F697B" w:rsidP="00A84756">
      <w:pPr>
        <w:pStyle w:val="Nadpis2"/>
        <w:numPr>
          <w:ilvl w:val="0"/>
          <w:numId w:val="0"/>
        </w:numPr>
        <w:ind w:left="284"/>
        <w:rPr>
          <w:szCs w:val="22"/>
        </w:rPr>
      </w:pPr>
      <w:r w:rsidRPr="001F697B">
        <w:rPr>
          <w:szCs w:val="22"/>
        </w:rPr>
        <w:t>Na základě dostupných údajů nejsou kritéri</w:t>
      </w:r>
      <w:r w:rsidR="00D53527">
        <w:rPr>
          <w:szCs w:val="22"/>
        </w:rPr>
        <w:t>a</w:t>
      </w:r>
      <w:r w:rsidR="00A84756">
        <w:rPr>
          <w:szCs w:val="22"/>
        </w:rPr>
        <w:t xml:space="preserve"> pro klasifikaci splněna.</w:t>
      </w:r>
    </w:p>
    <w:p w:rsidR="00A84756" w:rsidRDefault="00A84756" w:rsidP="00A84756">
      <w:pPr>
        <w:pStyle w:val="Nadpis2"/>
        <w:numPr>
          <w:ilvl w:val="0"/>
          <w:numId w:val="0"/>
        </w:numPr>
        <w:ind w:left="284"/>
        <w:rPr>
          <w:b/>
          <w:szCs w:val="22"/>
        </w:rPr>
      </w:pPr>
      <w:r w:rsidRPr="00A84756">
        <w:rPr>
          <w:b/>
          <w:szCs w:val="22"/>
        </w:rPr>
        <w:lastRenderedPageBreak/>
        <w:t>Nebezpečnost při vdechnutí</w:t>
      </w:r>
    </w:p>
    <w:p w:rsidR="00A84756" w:rsidRDefault="00A84756" w:rsidP="00A84756">
      <w:pPr>
        <w:pStyle w:val="Nadpis2"/>
        <w:numPr>
          <w:ilvl w:val="0"/>
          <w:numId w:val="0"/>
        </w:numPr>
        <w:ind w:left="284"/>
        <w:rPr>
          <w:szCs w:val="22"/>
        </w:rPr>
      </w:pPr>
      <w:r w:rsidRPr="001F697B">
        <w:rPr>
          <w:szCs w:val="22"/>
        </w:rPr>
        <w:t>Na základě dostupných údajů nejsou kritéri</w:t>
      </w:r>
      <w:r>
        <w:rPr>
          <w:szCs w:val="22"/>
        </w:rPr>
        <w:t>a pro klasifikaci splněna.</w:t>
      </w:r>
    </w:p>
    <w:p w:rsidR="00815E8F" w:rsidRPr="00815E8F" w:rsidRDefault="00815E8F" w:rsidP="00815E8F"/>
    <w:p w:rsidR="00A82281" w:rsidRDefault="00C62D34" w:rsidP="00C62D34">
      <w:pPr>
        <w:pStyle w:val="Nadpis1"/>
      </w:pPr>
      <w:r w:rsidRPr="00C62D34">
        <w:t>Ekologické informace</w:t>
      </w:r>
    </w:p>
    <w:p w:rsidR="00815E8F" w:rsidRPr="002C4519" w:rsidRDefault="002C4519" w:rsidP="002C4519">
      <w:pPr>
        <w:pStyle w:val="Nadpis2"/>
        <w:rPr>
          <w:b/>
          <w:sz w:val="24"/>
          <w:szCs w:val="24"/>
        </w:rPr>
      </w:pPr>
      <w:r w:rsidRPr="002C4519">
        <w:rPr>
          <w:b/>
          <w:sz w:val="24"/>
          <w:szCs w:val="24"/>
        </w:rPr>
        <w:t>Toxicita:</w:t>
      </w:r>
    </w:p>
    <w:p w:rsidR="006828B7" w:rsidRPr="006828B7" w:rsidRDefault="00403E54" w:rsidP="006828B7">
      <w:pPr>
        <w:pStyle w:val="Nadpis2"/>
        <w:numPr>
          <w:ilvl w:val="0"/>
          <w:numId w:val="0"/>
        </w:numPr>
        <w:ind w:left="1022"/>
        <w:rPr>
          <w:szCs w:val="22"/>
        </w:rPr>
      </w:pPr>
      <w:r>
        <w:rPr>
          <w:szCs w:val="22"/>
        </w:rPr>
        <w:t>Data pro směs nejsou k dispozici.</w:t>
      </w:r>
    </w:p>
    <w:p w:rsidR="00AC33D5" w:rsidRDefault="00B17B1A" w:rsidP="00B17B1A">
      <w:pPr>
        <w:pStyle w:val="Nadpis2"/>
        <w:rPr>
          <w:szCs w:val="22"/>
        </w:rPr>
      </w:pPr>
      <w:r w:rsidRPr="00B17B1A">
        <w:rPr>
          <w:b/>
          <w:sz w:val="24"/>
          <w:szCs w:val="24"/>
        </w:rPr>
        <w:t>Persistence a rozložitelnost:</w:t>
      </w:r>
    </w:p>
    <w:p w:rsidR="00BC7A3F" w:rsidRPr="00A6696D" w:rsidRDefault="00403E54" w:rsidP="00A6696D">
      <w:pPr>
        <w:pStyle w:val="Normlnweb"/>
        <w:spacing w:after="0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  <w:lang w:val="en-US"/>
        </w:rPr>
        <w:t xml:space="preserve">                </w:t>
      </w:r>
      <w:r w:rsidRPr="00403E54">
        <w:rPr>
          <w:rFonts w:ascii="Arial" w:hAnsi="Arial" w:cs="Arial"/>
          <w:iCs/>
          <w:sz w:val="22"/>
          <w:szCs w:val="22"/>
          <w:lang w:val="en-US"/>
        </w:rPr>
        <w:t xml:space="preserve">Pro přípravek nebyla stanovena. </w:t>
      </w:r>
    </w:p>
    <w:p w:rsidR="00CB34C1" w:rsidRDefault="00CB34C1" w:rsidP="00CB34C1">
      <w:pPr>
        <w:pStyle w:val="Nadpis2"/>
        <w:rPr>
          <w:b/>
          <w:sz w:val="24"/>
          <w:szCs w:val="24"/>
        </w:rPr>
      </w:pPr>
      <w:r w:rsidRPr="00CB34C1">
        <w:rPr>
          <w:b/>
          <w:sz w:val="24"/>
          <w:szCs w:val="24"/>
        </w:rPr>
        <w:t>Bioakumulační potenciál:</w:t>
      </w:r>
    </w:p>
    <w:p w:rsidR="00BC7A3F" w:rsidRPr="00A043B8" w:rsidRDefault="00A043B8" w:rsidP="00BC7A3F">
      <w:pPr>
        <w:pStyle w:val="Nadpis2"/>
        <w:numPr>
          <w:ilvl w:val="0"/>
          <w:numId w:val="0"/>
        </w:numPr>
        <w:ind w:left="1022"/>
        <w:rPr>
          <w:szCs w:val="22"/>
        </w:rPr>
      </w:pPr>
      <w:r w:rsidRPr="00A043B8">
        <w:rPr>
          <w:szCs w:val="22"/>
        </w:rPr>
        <w:t>Data nejsou k dispozici, bioakumulace je nepravděpodobná vzhledem k rozpustnosti ve vodě.</w:t>
      </w:r>
    </w:p>
    <w:p w:rsidR="0089748F" w:rsidRDefault="004B149D" w:rsidP="0089748F">
      <w:pPr>
        <w:pStyle w:val="Nadpis2"/>
        <w:rPr>
          <w:b/>
          <w:sz w:val="24"/>
          <w:szCs w:val="24"/>
        </w:rPr>
      </w:pPr>
      <w:r w:rsidRPr="004B149D">
        <w:rPr>
          <w:b/>
          <w:sz w:val="24"/>
          <w:szCs w:val="24"/>
        </w:rPr>
        <w:t>Mobilita v půdě:</w:t>
      </w:r>
    </w:p>
    <w:p w:rsidR="00A043B8" w:rsidRPr="00A043B8" w:rsidRDefault="00A043B8" w:rsidP="00A043B8">
      <w:pPr>
        <w:ind w:left="1022"/>
      </w:pPr>
      <w:r>
        <w:t>Data nejsou k dispozici.</w:t>
      </w:r>
    </w:p>
    <w:p w:rsidR="00EC5BD9" w:rsidRDefault="00EC5BD9" w:rsidP="00EC5BD9">
      <w:pPr>
        <w:pStyle w:val="Nadpis2"/>
        <w:rPr>
          <w:szCs w:val="22"/>
        </w:rPr>
      </w:pPr>
      <w:r w:rsidRPr="00EC5BD9">
        <w:rPr>
          <w:b/>
          <w:sz w:val="24"/>
          <w:szCs w:val="24"/>
        </w:rPr>
        <w:t>Výsledky posouzení PBT a vPvB:</w:t>
      </w:r>
      <w:r>
        <w:rPr>
          <w:b/>
          <w:sz w:val="24"/>
          <w:szCs w:val="24"/>
        </w:rPr>
        <w:br/>
      </w:r>
      <w:r w:rsidR="00A043B8">
        <w:rPr>
          <w:szCs w:val="22"/>
        </w:rPr>
        <w:t>Tato směs neobsahuje látky , které jsou vyhodnoceny jako PBT nebo vPvB.</w:t>
      </w:r>
    </w:p>
    <w:p w:rsidR="00B17B1A" w:rsidRDefault="00EC5BD9" w:rsidP="00805151">
      <w:pPr>
        <w:pStyle w:val="Nadpis2"/>
        <w:rPr>
          <w:szCs w:val="22"/>
        </w:rPr>
      </w:pPr>
      <w:r w:rsidRPr="00EC5BD9">
        <w:rPr>
          <w:b/>
          <w:sz w:val="24"/>
          <w:szCs w:val="24"/>
        </w:rPr>
        <w:t>Jiné nepříznivé účinky:</w:t>
      </w:r>
      <w:r>
        <w:rPr>
          <w:b/>
          <w:sz w:val="24"/>
          <w:szCs w:val="24"/>
        </w:rPr>
        <w:br/>
      </w:r>
      <w:r w:rsidR="00A043B8">
        <w:rPr>
          <w:szCs w:val="22"/>
        </w:rPr>
        <w:t>Přípravek nesmí ve velkém množství proniknout do povrchových vod, ani do kanalizace.</w:t>
      </w:r>
    </w:p>
    <w:p w:rsidR="00A6696D" w:rsidRPr="00A6696D" w:rsidRDefault="00A6696D" w:rsidP="00A6696D"/>
    <w:p w:rsidR="00A82281" w:rsidRPr="00B64EFA" w:rsidRDefault="00EC5BD9" w:rsidP="00EC5BD9">
      <w:pPr>
        <w:pStyle w:val="Nadpis1"/>
      </w:pPr>
      <w:r w:rsidRPr="00EC5BD9">
        <w:t>Pokyny pro odstraňování</w:t>
      </w:r>
    </w:p>
    <w:p w:rsidR="00EC5BD9" w:rsidRDefault="00EC5BD9" w:rsidP="00EC5BD9">
      <w:pPr>
        <w:pStyle w:val="Nadpis2"/>
        <w:rPr>
          <w:b/>
          <w:sz w:val="24"/>
          <w:szCs w:val="24"/>
        </w:rPr>
      </w:pPr>
      <w:r w:rsidRPr="00EC5BD9">
        <w:rPr>
          <w:b/>
          <w:sz w:val="24"/>
          <w:szCs w:val="24"/>
        </w:rPr>
        <w:t>Metody nakládání s odpady:</w:t>
      </w:r>
    </w:p>
    <w:p w:rsidR="00A043B8" w:rsidRPr="00A043B8" w:rsidRDefault="00A043B8" w:rsidP="00A043B8">
      <w:pPr>
        <w:rPr>
          <w:lang w:val="en-US"/>
        </w:rPr>
      </w:pPr>
      <w:r w:rsidRPr="00A043B8">
        <w:t xml:space="preserve">Postupuje se podle zákona o odpadech a podle jeho prováděcích předpisů </w:t>
      </w:r>
      <w:r w:rsidRPr="00A043B8">
        <w:rPr>
          <w:lang w:val="en-US"/>
        </w:rPr>
        <w:t xml:space="preserve">o </w:t>
      </w:r>
      <w:r>
        <w:rPr>
          <w:lang w:val="en-US"/>
        </w:rPr>
        <w:t xml:space="preserve">                   zneškodňován </w:t>
      </w:r>
      <w:r w:rsidRPr="00A043B8">
        <w:rPr>
          <w:lang w:val="en-US"/>
        </w:rPr>
        <w:t>odpadů. Katalogová čísla druhu odpadů zařazuje uživatel na základě aplikce výrobku.Jestliže se přípravek a obal stanou odpadem musí konečný uživatel přidělit odpovídající kód odpadu podle Katalogu odpadů.Zatřídění je možno provádět podle vlastností odpadu v době jeho vzniku.</w:t>
      </w:r>
    </w:p>
    <w:p w:rsidR="00A043B8" w:rsidRPr="00A043B8" w:rsidRDefault="00A043B8" w:rsidP="00A043B8">
      <w:r w:rsidRPr="00A043B8">
        <w:rPr>
          <w:b/>
          <w:bCs/>
          <w:u w:val="single"/>
        </w:rPr>
        <w:t>a)Vhodné metody odstrańování :</w:t>
      </w:r>
    </w:p>
    <w:p w:rsidR="00A043B8" w:rsidRPr="00A043B8" w:rsidRDefault="00A043B8" w:rsidP="00A043B8">
      <w:r w:rsidRPr="00A043B8">
        <w:t>Nepoužitý výrobek a znečištěný obal uložte do označených nádob pro sběr odpadu.</w:t>
      </w:r>
    </w:p>
    <w:p w:rsidR="00A043B8" w:rsidRPr="00A043B8" w:rsidRDefault="00A043B8" w:rsidP="00A043B8">
      <w:r w:rsidRPr="00A043B8">
        <w:lastRenderedPageBreak/>
        <w:t>Obsah : Větší množství přípravku předejte k likvidaci specializované firmě s oprávněním k této činnosti.</w:t>
      </w:r>
    </w:p>
    <w:p w:rsidR="00A043B8" w:rsidRPr="00A043B8" w:rsidRDefault="00A043B8" w:rsidP="00A043B8">
      <w:r w:rsidRPr="00A043B8">
        <w:t>Obal : Způsoby zneškodňování kontaminovaného obalu :</w:t>
      </w:r>
    </w:p>
    <w:p w:rsidR="00A043B8" w:rsidRDefault="00A043B8" w:rsidP="00A043B8">
      <w:r w:rsidRPr="00A043B8">
        <w:t>Nejedná se o nebezpečný odpad.Umístit do kontejnérů určených pro odpad z daného materiálu.</w:t>
      </w:r>
    </w:p>
    <w:p w:rsidR="00A043B8" w:rsidRPr="00B43DB0" w:rsidRDefault="00A043B8" w:rsidP="00A6696D">
      <w:pPr>
        <w:pStyle w:val="Normlnweb"/>
        <w:spacing w:after="0"/>
      </w:pPr>
      <w:r w:rsidRPr="00B43DB0">
        <w:rPr>
          <w:rFonts w:ascii="Arial" w:hAnsi="Arial" w:cs="Arial"/>
          <w:b/>
          <w:bCs/>
          <w:iCs/>
          <w:sz w:val="22"/>
          <w:szCs w:val="22"/>
          <w:u w:val="single"/>
        </w:rPr>
        <w:t>b)Fyzikálně-chemické vlastnosti, které mohou ovlivnit způsob nakládání s odpady :</w:t>
      </w:r>
    </w:p>
    <w:p w:rsidR="00A043B8" w:rsidRPr="00B43DB0" w:rsidRDefault="00A043B8" w:rsidP="00A6696D">
      <w:pPr>
        <w:pStyle w:val="Normlnweb"/>
        <w:spacing w:after="0"/>
      </w:pPr>
      <w:r w:rsidRPr="00B43DB0">
        <w:rPr>
          <w:rFonts w:ascii="Arial" w:hAnsi="Arial" w:cs="Arial"/>
          <w:iCs/>
          <w:sz w:val="22"/>
          <w:szCs w:val="22"/>
        </w:rPr>
        <w:t>Žádné nejsou známy.</w:t>
      </w:r>
    </w:p>
    <w:p w:rsidR="00A043B8" w:rsidRPr="00B43DB0" w:rsidRDefault="00A043B8" w:rsidP="00A6696D">
      <w:pPr>
        <w:pStyle w:val="Normlnweb"/>
        <w:spacing w:after="0"/>
      </w:pPr>
      <w:r w:rsidRPr="00B43DB0">
        <w:rPr>
          <w:rFonts w:ascii="Arial" w:hAnsi="Arial" w:cs="Arial"/>
          <w:b/>
          <w:bCs/>
          <w:iCs/>
          <w:sz w:val="22"/>
          <w:szCs w:val="22"/>
          <w:u w:val="single"/>
        </w:rPr>
        <w:t>c)Zamezení odstranění odpadů prostřednictvím kanalizace :</w:t>
      </w:r>
    </w:p>
    <w:p w:rsidR="00A043B8" w:rsidRPr="00B43DB0" w:rsidRDefault="00A043B8" w:rsidP="00A6696D">
      <w:pPr>
        <w:pStyle w:val="Normlnweb"/>
        <w:spacing w:after="0"/>
      </w:pPr>
      <w:r w:rsidRPr="00B43DB0">
        <w:rPr>
          <w:rFonts w:ascii="Arial" w:hAnsi="Arial" w:cs="Arial"/>
          <w:iCs/>
          <w:sz w:val="22"/>
          <w:szCs w:val="22"/>
        </w:rPr>
        <w:t>Zamezit vniknutí do kanalizace, důkladně smést.</w:t>
      </w:r>
    </w:p>
    <w:p w:rsidR="00A043B8" w:rsidRPr="00B43DB0" w:rsidRDefault="00A043B8" w:rsidP="00A6696D">
      <w:pPr>
        <w:pStyle w:val="Normlnweb"/>
        <w:spacing w:after="0"/>
      </w:pPr>
      <w:r w:rsidRPr="00B43DB0">
        <w:rPr>
          <w:rFonts w:ascii="Arial" w:hAnsi="Arial" w:cs="Arial"/>
          <w:b/>
          <w:bCs/>
          <w:iCs/>
          <w:sz w:val="22"/>
          <w:szCs w:val="22"/>
          <w:u w:val="single"/>
        </w:rPr>
        <w:t>d)Zvláštní bezpečnostní opatření pro doporučené nakládání s odpady :</w:t>
      </w:r>
    </w:p>
    <w:p w:rsidR="00A043B8" w:rsidRDefault="00A043B8" w:rsidP="00A6696D">
      <w:pPr>
        <w:pStyle w:val="Normlnweb"/>
        <w:spacing w:after="0"/>
      </w:pPr>
      <w:r w:rsidRPr="00B43DB0">
        <w:rPr>
          <w:rFonts w:ascii="Arial" w:hAnsi="Arial" w:cs="Arial"/>
          <w:iCs/>
          <w:sz w:val="22"/>
          <w:szCs w:val="22"/>
        </w:rPr>
        <w:t>Neuvedena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28143B" w:rsidRPr="00B43DB0" w:rsidRDefault="0028143B" w:rsidP="00B43DB0">
      <w:r w:rsidRPr="0028143B">
        <w:t>Předpisy vztahující se k nakládání s odpady:</w:t>
      </w:r>
    </w:p>
    <w:p w:rsidR="00DD43ED" w:rsidRDefault="0028143B" w:rsidP="00B43DB0">
      <w:r w:rsidRPr="0028143B">
        <w:t>V souladu s přílohou II nařízení (ES) nº1907 / 2006</w:t>
      </w:r>
      <w:r w:rsidR="00DD43ED">
        <w:t xml:space="preserve"> (REACH) jsou uvedeny předpisy S</w:t>
      </w:r>
      <w:r w:rsidRPr="0028143B">
        <w:t>polečenství nebo státní</w:t>
      </w:r>
      <w:r>
        <w:t xml:space="preserve"> předpisy</w:t>
      </w:r>
      <w:r w:rsidRPr="0028143B">
        <w:t xml:space="preserve"> související s nakládáním s</w:t>
      </w:r>
      <w:r>
        <w:t> </w:t>
      </w:r>
      <w:r w:rsidRPr="0028143B">
        <w:t>odpady</w:t>
      </w:r>
      <w:r>
        <w:t>.</w:t>
      </w:r>
    </w:p>
    <w:p w:rsidR="00DD43ED" w:rsidRDefault="00DD43ED" w:rsidP="00B43DB0">
      <w:r w:rsidRPr="00DD43ED">
        <w:t>Právní předpisy Společenství: Směrnice 2008/98 / ES, 2000/532 / ES: Rozhodnutí Komise ze dne 3. května 2000</w:t>
      </w:r>
    </w:p>
    <w:p w:rsidR="00DD43ED" w:rsidRPr="00DD43ED" w:rsidRDefault="00DD43ED" w:rsidP="00B43DB0">
      <w:pPr>
        <w:rPr>
          <w:rFonts w:cs="Arial"/>
          <w:b/>
          <w:sz w:val="24"/>
          <w:szCs w:val="24"/>
        </w:rPr>
      </w:pPr>
      <w:r w:rsidRPr="00DD43ED">
        <w:rPr>
          <w:rFonts w:cs="Arial"/>
          <w:b/>
          <w:sz w:val="24"/>
          <w:szCs w:val="24"/>
        </w:rPr>
        <w:t xml:space="preserve">Právní předpisy o odpadech v ČR :  </w:t>
      </w:r>
    </w:p>
    <w:p w:rsidR="00A47F94" w:rsidRDefault="00DD43ED" w:rsidP="00B43DB0">
      <w:r>
        <w:t>Zákon č. 185/2001 Sb.</w:t>
      </w:r>
      <w:r w:rsidRPr="00DD43ED">
        <w:t>, o odpadech a jeho pro</w:t>
      </w:r>
      <w:r w:rsidR="00141FB9">
        <w:t>váděcí předpisy v platném znění</w:t>
      </w:r>
      <w:r w:rsidR="00141FB9">
        <w:br/>
      </w:r>
      <w:r w:rsidRPr="00DD43ED">
        <w:t>Zařazení odpadu podle</w:t>
      </w:r>
      <w:r>
        <w:t xml:space="preserve"> vyhlášky MŽP č. 381/2001 Sb. (Katalog odpadů) v platném znění</w:t>
      </w:r>
      <w:r w:rsidRPr="00DD43ED">
        <w:t>:</w:t>
      </w:r>
      <w:r w:rsidR="00141FB9">
        <w:br/>
      </w:r>
      <w:r w:rsidRPr="00DD43ED">
        <w:t xml:space="preserve">Na základě platných předpisů je zbytek obsahu klasifikován jako odpad  </w:t>
      </w:r>
      <w:r w:rsidR="00141FB9">
        <w:br/>
      </w:r>
      <w:r>
        <w:t xml:space="preserve"> pod:   </w:t>
      </w:r>
      <w:r w:rsidRPr="00DD43ED">
        <w:t xml:space="preserve">č. </w:t>
      </w:r>
      <w:r w:rsidR="00633638">
        <w:t xml:space="preserve">   </w:t>
      </w:r>
      <w:r w:rsidRPr="00DD43ED">
        <w:t xml:space="preserve"> 070699 </w:t>
      </w:r>
      <w:r>
        <w:t>(Odpady jinak blíže neurčené)</w:t>
      </w:r>
      <w:r w:rsidRPr="00DD43ED">
        <w:t>,</w:t>
      </w:r>
      <w:r w:rsidR="00FB058F">
        <w:br/>
      </w:r>
      <w:r w:rsidR="00224B07">
        <w:t>obal</w:t>
      </w:r>
      <w:r w:rsidR="00FB058F" w:rsidRPr="00FB058F">
        <w:t xml:space="preserve">:  </w:t>
      </w:r>
      <w:r w:rsidR="00224B07">
        <w:t xml:space="preserve"> </w:t>
      </w:r>
      <w:r w:rsidR="00FB058F" w:rsidRPr="00FB058F">
        <w:t>č.     15 01 02  ( Plastové obaly).</w:t>
      </w:r>
    </w:p>
    <w:p w:rsidR="00B43DB0" w:rsidRDefault="00B43DB0" w:rsidP="00B43DB0">
      <w:r>
        <w:t>Vyhláška č.93/2016 Sb. – Katalog odpadů</w:t>
      </w:r>
    </w:p>
    <w:p w:rsidR="00B43DB0" w:rsidRDefault="00B43DB0" w:rsidP="00B43DB0">
      <w:r>
        <w:t>Vyhláška č. 94/2016 Sb. – O hodnocení nebezpečných vlastností odpadů, v platném znění.</w:t>
      </w:r>
    </w:p>
    <w:p w:rsidR="00B43DB0" w:rsidRDefault="00B43DB0" w:rsidP="00B43DB0">
      <w:r>
        <w:t xml:space="preserve">Nařízení EU č.1357/2014 </w:t>
      </w:r>
    </w:p>
    <w:p w:rsidR="0037483F" w:rsidRPr="0037483F" w:rsidRDefault="0037483F" w:rsidP="0037483F"/>
    <w:p w:rsidR="00A82281" w:rsidRDefault="00633638" w:rsidP="00633638">
      <w:pPr>
        <w:pStyle w:val="Nadpis1"/>
      </w:pPr>
      <w:r>
        <w:lastRenderedPageBreak/>
        <w:t>I</w:t>
      </w:r>
      <w:r w:rsidRPr="00633638">
        <w:t>nformace pro přepravu</w:t>
      </w:r>
    </w:p>
    <w:p w:rsidR="00224B07" w:rsidRDefault="000B6C26" w:rsidP="00B43DB0">
      <w:r>
        <w:br/>
      </w:r>
      <w:r w:rsidR="00224B07" w:rsidRPr="00A47F94">
        <w:t>Přeprava nebezpečného zboží po zemi</w:t>
      </w:r>
      <w:r w:rsidR="00224B07">
        <w:t>:</w:t>
      </w:r>
    </w:p>
    <w:p w:rsidR="00B43DB0" w:rsidRPr="00B43DB0" w:rsidRDefault="00B43DB0" w:rsidP="00B43DB0">
      <w:r>
        <w:t xml:space="preserve">14.1. </w:t>
      </w:r>
      <w:r w:rsidRPr="00B77F44">
        <w:rPr>
          <w:b/>
        </w:rPr>
        <w:t>UN číslo :</w:t>
      </w:r>
      <w:r w:rsidRPr="00B43DB0">
        <w:t xml:space="preserve">                                          nepodléhá předpisům ADR</w:t>
      </w:r>
    </w:p>
    <w:p w:rsidR="00224B07" w:rsidRDefault="00224B07" w:rsidP="00B43DB0">
      <w:r>
        <w:t>14.</w:t>
      </w:r>
      <w:r w:rsidR="00B77F44">
        <w:rPr>
          <w:b/>
        </w:rPr>
        <w:t>2</w:t>
      </w:r>
      <w:r w:rsidRPr="00B77F44">
        <w:rPr>
          <w:b/>
        </w:rPr>
        <w:t xml:space="preserve"> </w:t>
      </w:r>
      <w:r w:rsidR="00764B15" w:rsidRPr="00B77F44">
        <w:rPr>
          <w:b/>
        </w:rPr>
        <w:t>OSN</w:t>
      </w:r>
      <w:r w:rsidRPr="00B77F44">
        <w:rPr>
          <w:b/>
        </w:rPr>
        <w:t xml:space="preserve"> číslo</w:t>
      </w:r>
      <w:r w:rsidRPr="00371986">
        <w:t>:</w:t>
      </w:r>
      <w:r>
        <w:tab/>
      </w:r>
      <w:r>
        <w:tab/>
      </w:r>
      <w:r>
        <w:tab/>
      </w:r>
      <w:r>
        <w:tab/>
      </w:r>
      <w:r w:rsidR="00B43DB0">
        <w:t>neuvedeno</w:t>
      </w:r>
    </w:p>
    <w:p w:rsidR="00224B07" w:rsidRDefault="00224B07" w:rsidP="00B43DB0">
      <w:r>
        <w:t xml:space="preserve">14.3 </w:t>
      </w:r>
      <w:r w:rsidRPr="00B77F44">
        <w:rPr>
          <w:b/>
        </w:rPr>
        <w:t>Třídy nebezpečnosti pro přepravu</w:t>
      </w:r>
      <w:r w:rsidRPr="00371986">
        <w:t>:</w:t>
      </w:r>
      <w:r w:rsidR="00B43DB0">
        <w:tab/>
        <w:t>neuvedeno</w:t>
      </w:r>
    </w:p>
    <w:p w:rsidR="00224B07" w:rsidRDefault="00224B07" w:rsidP="00B43DB0">
      <w:r>
        <w:t xml:space="preserve">14.4 </w:t>
      </w:r>
      <w:r w:rsidRPr="00371986">
        <w:rPr>
          <w:b/>
        </w:rPr>
        <w:t>Obalová skupina:</w:t>
      </w:r>
      <w:r w:rsidR="00B43DB0">
        <w:tab/>
        <w:t xml:space="preserve">                       neuvedeno </w:t>
      </w:r>
    </w:p>
    <w:p w:rsidR="00224B07" w:rsidRDefault="00224B07" w:rsidP="00B43DB0">
      <w:r>
        <w:t xml:space="preserve">14.5 </w:t>
      </w:r>
      <w:r w:rsidRPr="002737F1">
        <w:rPr>
          <w:b/>
        </w:rPr>
        <w:t>Nebezpečný pro životní prostředí:</w:t>
      </w:r>
      <w:r w:rsidR="00B43DB0">
        <w:t xml:space="preserve">    neuvedeno</w:t>
      </w:r>
    </w:p>
    <w:p w:rsidR="00B41AFA" w:rsidRDefault="00224B07" w:rsidP="00B41AFA">
      <w:r>
        <w:t xml:space="preserve">14.6 </w:t>
      </w:r>
      <w:r w:rsidRPr="002737F1">
        <w:rPr>
          <w:b/>
        </w:rPr>
        <w:t>Zvláštní bezpečnostní opatření pro uživatele</w:t>
      </w:r>
      <w:r w:rsidR="00B43DB0">
        <w:rPr>
          <w:b/>
        </w:rPr>
        <w:t xml:space="preserve">:    </w:t>
      </w:r>
      <w:r w:rsidR="00B43DB0" w:rsidRPr="00B43DB0">
        <w:t>neuvedeno</w:t>
      </w:r>
    </w:p>
    <w:p w:rsidR="00224B07" w:rsidRDefault="00224B07" w:rsidP="00B41AFA">
      <w:r>
        <w:t xml:space="preserve">14.7 </w:t>
      </w:r>
      <w:r w:rsidRPr="002737F1">
        <w:rPr>
          <w:b/>
        </w:rPr>
        <w:t xml:space="preserve">Hromadná přeprava podle přílohy II MARPOL 73/78 a kodexu IBC: </w:t>
      </w:r>
      <w:r w:rsidR="00B43DB0">
        <w:t>Neuvedeno</w:t>
      </w:r>
    </w:p>
    <w:p w:rsidR="00486919" w:rsidRPr="00A47F94" w:rsidRDefault="00486919" w:rsidP="00393658">
      <w:pPr>
        <w:rPr>
          <w:b/>
          <w:sz w:val="24"/>
          <w:szCs w:val="24"/>
        </w:rPr>
      </w:pPr>
    </w:p>
    <w:p w:rsidR="00A82281" w:rsidRDefault="007C3CE3" w:rsidP="007C3CE3">
      <w:pPr>
        <w:pStyle w:val="Nadpis1"/>
      </w:pPr>
      <w:r w:rsidRPr="007C3CE3">
        <w:t>Informace o předpisech</w:t>
      </w:r>
    </w:p>
    <w:p w:rsidR="006D0A9A" w:rsidRDefault="006A7024" w:rsidP="006A7024">
      <w:pPr>
        <w:pStyle w:val="Nadpis2"/>
        <w:rPr>
          <w:b/>
          <w:sz w:val="24"/>
          <w:szCs w:val="24"/>
        </w:rPr>
      </w:pPr>
      <w:r w:rsidRPr="006A7024">
        <w:rPr>
          <w:b/>
          <w:sz w:val="24"/>
          <w:szCs w:val="24"/>
        </w:rPr>
        <w:t>Nařízení týkající se bezpečnosti, zdraví a životního prostředí/specifické právní předpisy týkající se látky nebo směsi</w:t>
      </w:r>
    </w:p>
    <w:p w:rsidR="00E83079" w:rsidRDefault="00E83079" w:rsidP="006D0A9A">
      <w:pPr>
        <w:pStyle w:val="Nadpis2"/>
        <w:numPr>
          <w:ilvl w:val="0"/>
          <w:numId w:val="0"/>
        </w:numPr>
        <w:ind w:left="850"/>
        <w:rPr>
          <w:szCs w:val="22"/>
        </w:rPr>
      </w:pPr>
      <w:r>
        <w:rPr>
          <w:szCs w:val="22"/>
        </w:rPr>
        <w:t>N</w:t>
      </w:r>
      <w:r w:rsidR="006D0A9A" w:rsidRPr="006D0A9A">
        <w:rPr>
          <w:szCs w:val="22"/>
        </w:rPr>
        <w:t>aříz</w:t>
      </w:r>
      <w:r w:rsidR="006D0A9A">
        <w:rPr>
          <w:szCs w:val="22"/>
        </w:rPr>
        <w:t>ení (ES)</w:t>
      </w:r>
      <w:r>
        <w:rPr>
          <w:szCs w:val="22"/>
        </w:rPr>
        <w:t xml:space="preserve"> a Rady č.1907/2006 (REACH) v platném znění</w:t>
      </w:r>
    </w:p>
    <w:p w:rsidR="00E83079" w:rsidRPr="00E83079" w:rsidRDefault="00E83079" w:rsidP="00E83079">
      <w:r>
        <w:t xml:space="preserve">              N</w:t>
      </w:r>
      <w:r w:rsidRPr="006D0A9A">
        <w:t>aříz</w:t>
      </w:r>
      <w:r>
        <w:t>ení (ES) a Rady č.1272/2008 v platném znění (CLP)</w:t>
      </w:r>
    </w:p>
    <w:p w:rsidR="00E83079" w:rsidRDefault="00E525E8" w:rsidP="006D0A9A">
      <w:pPr>
        <w:pStyle w:val="Nadpis2"/>
        <w:numPr>
          <w:ilvl w:val="0"/>
          <w:numId w:val="0"/>
        </w:numPr>
        <w:ind w:left="850"/>
        <w:rPr>
          <w:szCs w:val="22"/>
        </w:rPr>
      </w:pPr>
      <w:r w:rsidRPr="00E525E8">
        <w:rPr>
          <w:szCs w:val="22"/>
        </w:rPr>
        <w:t>Nařízení Evropského parlamentu a Rady č.  830/ 2015 v platném znění.</w:t>
      </w:r>
    </w:p>
    <w:p w:rsidR="00BD5708" w:rsidRDefault="00E83079" w:rsidP="006D0A9A">
      <w:pPr>
        <w:pStyle w:val="Nadpis2"/>
        <w:numPr>
          <w:ilvl w:val="0"/>
          <w:numId w:val="0"/>
        </w:numPr>
        <w:ind w:left="850"/>
        <w:rPr>
          <w:szCs w:val="22"/>
        </w:rPr>
      </w:pPr>
      <w:r>
        <w:rPr>
          <w:szCs w:val="22"/>
        </w:rPr>
        <w:t>Směrnice EP a Rady č.2006/12/ES o odpadech</w:t>
      </w:r>
      <w:r w:rsidR="0003022E">
        <w:rPr>
          <w:szCs w:val="22"/>
        </w:rPr>
        <w:br/>
      </w:r>
    </w:p>
    <w:p w:rsidR="00A82281" w:rsidRDefault="00F265E1" w:rsidP="003C3C15">
      <w:pPr>
        <w:pStyle w:val="Nadpis2"/>
        <w:numPr>
          <w:ilvl w:val="0"/>
          <w:numId w:val="0"/>
        </w:numPr>
        <w:ind w:left="850"/>
        <w:rPr>
          <w:b/>
          <w:szCs w:val="22"/>
        </w:rPr>
      </w:pPr>
      <w:r w:rsidRPr="00F265E1">
        <w:rPr>
          <w:b/>
          <w:szCs w:val="22"/>
        </w:rPr>
        <w:t>České předpisy</w:t>
      </w:r>
      <w:r>
        <w:rPr>
          <w:b/>
          <w:szCs w:val="22"/>
        </w:rPr>
        <w:br/>
      </w:r>
      <w:r w:rsidRPr="00F265E1">
        <w:rPr>
          <w:szCs w:val="22"/>
        </w:rPr>
        <w:t>Zákon č. 350/2011 Sb., o chemických látkách a chemických přípravcích a o změně některých zákonů – v platném znění včetně prováděcích předpisů k tomuto zákonu</w:t>
      </w:r>
      <w:r w:rsidRPr="00F265E1">
        <w:rPr>
          <w:b/>
          <w:szCs w:val="22"/>
        </w:rPr>
        <w:t>.</w:t>
      </w:r>
      <w:r>
        <w:rPr>
          <w:b/>
          <w:szCs w:val="22"/>
        </w:rPr>
        <w:br/>
      </w:r>
      <w:r w:rsidRPr="00F265E1">
        <w:rPr>
          <w:szCs w:val="22"/>
        </w:rPr>
        <w:t>Zákon č. 258/2000 Sb., o ochraně veřejného zdraví – v platném znění.</w:t>
      </w:r>
      <w:r>
        <w:rPr>
          <w:b/>
          <w:szCs w:val="22"/>
        </w:rPr>
        <w:br/>
      </w:r>
      <w:r w:rsidRPr="00F265E1">
        <w:rPr>
          <w:szCs w:val="22"/>
        </w:rPr>
        <w:t>Zákon č. 111/1994 Sb., o silniční dopravě a vyhláška č. 64/1987 Sb., o evropské dohodě o mezinárodní silniční přepravě nebezpečných věcí (ADR) v platném znění.</w:t>
      </w:r>
      <w:r w:rsidRPr="00F265E1">
        <w:rPr>
          <w:szCs w:val="22"/>
        </w:rPr>
        <w:br/>
        <w:t>Zákon č. 477/2001 Sb. o obalech v platném znění.</w:t>
      </w:r>
      <w:r w:rsidRPr="00F265E1">
        <w:rPr>
          <w:szCs w:val="22"/>
        </w:rPr>
        <w:br/>
        <w:t>Zákon č. 262/2006 Sb., zákoník práce v platném znění.</w:t>
      </w:r>
      <w:r w:rsidRPr="00F265E1">
        <w:rPr>
          <w:szCs w:val="22"/>
        </w:rPr>
        <w:br/>
        <w:t>Nařízení vlády č. 361/2007 Sb., kterým se stanoví podmínky ochrany zdraví při práci – v platném znění.</w:t>
      </w:r>
      <w:r w:rsidRPr="00F265E1">
        <w:rPr>
          <w:b/>
          <w:szCs w:val="22"/>
        </w:rPr>
        <w:t xml:space="preserve">  </w:t>
      </w:r>
    </w:p>
    <w:p w:rsidR="008124F2" w:rsidRPr="008124F2" w:rsidRDefault="00141FB9" w:rsidP="008124F2">
      <w:pPr>
        <w:pStyle w:val="Nadpis2"/>
        <w:rPr>
          <w:b/>
        </w:rPr>
      </w:pPr>
      <w:r>
        <w:rPr>
          <w:b/>
        </w:rPr>
        <w:lastRenderedPageBreak/>
        <w:t>Posouzení chemické bezpečnosti</w:t>
      </w:r>
      <w:r w:rsidR="008124F2" w:rsidRPr="008124F2">
        <w:rPr>
          <w:b/>
        </w:rPr>
        <w:t>:</w:t>
      </w:r>
      <w:r w:rsidR="00163C76">
        <w:rPr>
          <w:b/>
        </w:rPr>
        <w:br/>
      </w:r>
      <w:r w:rsidR="00163C76">
        <w:t>Posouzení chemické bezpečnosti nebylo provedeno.</w:t>
      </w:r>
      <w:r w:rsidR="00BD5708">
        <w:rPr>
          <w:b/>
        </w:rPr>
        <w:br/>
      </w:r>
    </w:p>
    <w:p w:rsidR="00A82281" w:rsidRDefault="00CF2EB0" w:rsidP="00CF2EB0">
      <w:pPr>
        <w:pStyle w:val="Nadpis1"/>
      </w:pPr>
      <w:r>
        <w:t>Další informace</w:t>
      </w:r>
    </w:p>
    <w:p w:rsidR="004918E9" w:rsidRDefault="004918E9" w:rsidP="00477760">
      <w:pPr>
        <w:pStyle w:val="Nadpis2"/>
        <w:numPr>
          <w:ilvl w:val="0"/>
          <w:numId w:val="0"/>
        </w:numPr>
        <w:ind w:left="850"/>
        <w:rPr>
          <w:b/>
        </w:rPr>
      </w:pPr>
      <w:r>
        <w:rPr>
          <w:b/>
        </w:rPr>
        <w:t>Seznam standartních vět o nebezpečnosti použitých v tomto bezpečnostním listě :</w:t>
      </w:r>
    </w:p>
    <w:p w:rsidR="00A6696D" w:rsidRPr="0079644E" w:rsidRDefault="004918E9" w:rsidP="00A6696D">
      <w:pPr>
        <w:pStyle w:val="Normlnweb"/>
        <w:spacing w:after="0"/>
        <w:rPr>
          <w:rFonts w:ascii="Arial" w:hAnsi="Arial" w:cs="Arial"/>
          <w:sz w:val="22"/>
          <w:szCs w:val="22"/>
        </w:rPr>
      </w:pPr>
      <w:r w:rsidRPr="0079644E">
        <w:rPr>
          <w:rFonts w:ascii="Arial" w:hAnsi="Arial" w:cs="Arial"/>
          <w:sz w:val="22"/>
          <w:szCs w:val="22"/>
        </w:rPr>
        <w:t xml:space="preserve">            </w:t>
      </w:r>
      <w:r w:rsidR="00A6696D" w:rsidRPr="0079644E">
        <w:rPr>
          <w:rFonts w:ascii="Arial" w:hAnsi="Arial" w:cs="Arial"/>
          <w:sz w:val="22"/>
          <w:szCs w:val="22"/>
        </w:rPr>
        <w:t xml:space="preserve">  H317 - </w:t>
      </w:r>
      <w:r w:rsidR="00A6696D" w:rsidRPr="0079644E">
        <w:rPr>
          <w:rFonts w:ascii="Arial" w:hAnsi="Arial" w:cs="Arial"/>
          <w:iCs/>
          <w:color w:val="000000"/>
          <w:sz w:val="22"/>
          <w:szCs w:val="22"/>
        </w:rPr>
        <w:t>Může vyvolat alergickou kožní reakci.</w:t>
      </w:r>
    </w:p>
    <w:p w:rsidR="00C051FA" w:rsidRPr="0079644E" w:rsidRDefault="00C051FA" w:rsidP="004918E9">
      <w:pPr>
        <w:rPr>
          <w:rFonts w:cs="Arial"/>
        </w:rPr>
      </w:pPr>
      <w:r w:rsidRPr="0079644E">
        <w:rPr>
          <w:rFonts w:cs="Arial"/>
        </w:rPr>
        <w:t xml:space="preserve">              H319 – Způsobuje vážné podráždění očí.</w:t>
      </w:r>
    </w:p>
    <w:p w:rsidR="00A6696D" w:rsidRPr="0079644E" w:rsidRDefault="00A6696D" w:rsidP="004918E9">
      <w:pPr>
        <w:rPr>
          <w:rFonts w:cs="Arial"/>
        </w:rPr>
      </w:pPr>
      <w:r w:rsidRPr="0079644E">
        <w:rPr>
          <w:rFonts w:cs="Arial"/>
        </w:rPr>
        <w:t xml:space="preserve">              H412 -  </w:t>
      </w:r>
      <w:r w:rsidR="0079644E" w:rsidRPr="0079644E">
        <w:rPr>
          <w:rFonts w:cs="Arial"/>
        </w:rPr>
        <w:t xml:space="preserve">Škodlivý pro vodní organismy, s dlouhodobými účinky. </w:t>
      </w:r>
    </w:p>
    <w:p w:rsidR="0079644E" w:rsidRDefault="0079644E" w:rsidP="004918E9"/>
    <w:p w:rsidR="006448E4" w:rsidRPr="006448E4" w:rsidRDefault="006448E4" w:rsidP="008676D3">
      <w:pPr>
        <w:spacing w:before="0"/>
        <w:rPr>
          <w:b/>
        </w:rPr>
      </w:pPr>
      <w:r>
        <w:rPr>
          <w:b/>
        </w:rPr>
        <w:t xml:space="preserve">             </w:t>
      </w:r>
      <w:r w:rsidRPr="006448E4">
        <w:rPr>
          <w:b/>
        </w:rPr>
        <w:t>Legenda k pouřitým zkratkám</w:t>
      </w:r>
    </w:p>
    <w:p w:rsidR="006448E4" w:rsidRDefault="006448E4" w:rsidP="008676D3">
      <w:pPr>
        <w:spacing w:before="0"/>
      </w:pPr>
      <w:r>
        <w:rPr>
          <w:lang w:val="en-US"/>
        </w:rPr>
        <w:t xml:space="preserve">             CAS </w:t>
      </w:r>
      <w:r>
        <w:t>číslo Chemical Abstrakt Service</w:t>
      </w:r>
    </w:p>
    <w:p w:rsidR="006448E4" w:rsidRDefault="006448E4" w:rsidP="008676D3">
      <w:pPr>
        <w:spacing w:before="0"/>
        <w:rPr>
          <w:lang w:val="en-US"/>
        </w:rPr>
      </w:pPr>
      <w:r>
        <w:rPr>
          <w:lang w:val="en-US"/>
        </w:rPr>
        <w:t xml:space="preserve">             EC European Commission number</w:t>
      </w:r>
    </w:p>
    <w:p w:rsidR="006448E4" w:rsidRDefault="006448E4" w:rsidP="008676D3">
      <w:pPr>
        <w:spacing w:before="0"/>
        <w:rPr>
          <w:lang w:val="en-US"/>
        </w:rPr>
      </w:pPr>
      <w:r>
        <w:rPr>
          <w:lang w:val="en-US"/>
        </w:rPr>
        <w:t xml:space="preserve">             EINECS European Inventory of Existing Commercial Chemical Substances</w:t>
      </w:r>
    </w:p>
    <w:p w:rsidR="006448E4" w:rsidRDefault="006448E4" w:rsidP="008676D3">
      <w:pPr>
        <w:spacing w:before="0"/>
        <w:rPr>
          <w:lang w:val="en-US"/>
        </w:rPr>
      </w:pPr>
      <w:r>
        <w:rPr>
          <w:lang w:val="en-US"/>
        </w:rPr>
        <w:t xml:space="preserve">         </w:t>
      </w:r>
      <w:r w:rsidR="00B77F44">
        <w:rPr>
          <w:lang w:val="en-US"/>
        </w:rPr>
        <w:t xml:space="preserve"> </w:t>
      </w:r>
      <w:r>
        <w:rPr>
          <w:lang w:val="en-US"/>
        </w:rPr>
        <w:t xml:space="preserve">   CLP Classification, Llabelling and Packaging</w:t>
      </w:r>
    </w:p>
    <w:p w:rsidR="006448E4" w:rsidRDefault="006448E4" w:rsidP="008676D3">
      <w:pPr>
        <w:spacing w:before="0"/>
        <w:rPr>
          <w:lang w:val="en-US"/>
        </w:rPr>
      </w:pPr>
      <w:r>
        <w:rPr>
          <w:lang w:val="en-US"/>
        </w:rPr>
        <w:t xml:space="preserve">            PBT Perzistentní, Bioakumulující, Toxická látka</w:t>
      </w:r>
    </w:p>
    <w:p w:rsidR="006448E4" w:rsidRDefault="006448E4" w:rsidP="008676D3">
      <w:pPr>
        <w:spacing w:before="0"/>
        <w:rPr>
          <w:lang w:val="en-US"/>
        </w:rPr>
      </w:pPr>
      <w:r>
        <w:rPr>
          <w:lang w:val="en-US"/>
        </w:rPr>
        <w:t xml:space="preserve">            vPvT vysoce Perzistentní, vysoce Toxická látka</w:t>
      </w:r>
    </w:p>
    <w:p w:rsidR="006448E4" w:rsidRDefault="006448E4" w:rsidP="008676D3">
      <w:pPr>
        <w:spacing w:before="0"/>
      </w:pPr>
      <w:r>
        <w:rPr>
          <w:color w:val="000000"/>
          <w:lang w:val="en-US"/>
        </w:rPr>
        <w:t xml:space="preserve">            PEL P</w:t>
      </w:r>
      <w:r>
        <w:rPr>
          <w:color w:val="000000"/>
        </w:rPr>
        <w:t>řípustný expoziční limit</w:t>
      </w:r>
    </w:p>
    <w:p w:rsidR="006448E4" w:rsidRDefault="00AB7574" w:rsidP="008676D3">
      <w:pPr>
        <w:spacing w:before="0"/>
      </w:pPr>
      <w:r>
        <w:t xml:space="preserve">            </w:t>
      </w:r>
      <w:r w:rsidR="006448E4">
        <w:t>LC50 letální koncentrace, 50%</w:t>
      </w:r>
    </w:p>
    <w:p w:rsidR="006448E4" w:rsidRDefault="00AB7574" w:rsidP="008676D3">
      <w:pPr>
        <w:spacing w:before="0"/>
      </w:pPr>
      <w:r>
        <w:t xml:space="preserve">            </w:t>
      </w:r>
      <w:r w:rsidR="006448E4">
        <w:t>LD50 letální dávka, 50%</w:t>
      </w:r>
    </w:p>
    <w:p w:rsidR="006448E4" w:rsidRDefault="00AB7574" w:rsidP="008676D3">
      <w:pPr>
        <w:spacing w:before="0"/>
      </w:pPr>
      <w:r>
        <w:rPr>
          <w:color w:val="000000"/>
          <w:lang w:val="en-US"/>
        </w:rPr>
        <w:t xml:space="preserve">            </w:t>
      </w:r>
      <w:r w:rsidR="006448E4">
        <w:rPr>
          <w:color w:val="000000"/>
          <w:lang w:val="en-US"/>
        </w:rPr>
        <w:t>NPK- P Nejvyšší p</w:t>
      </w:r>
      <w:r w:rsidR="006448E4">
        <w:rPr>
          <w:color w:val="000000"/>
        </w:rPr>
        <w:t>řípustná koncentrace (v pracovním prostředí)</w:t>
      </w:r>
    </w:p>
    <w:p w:rsidR="006448E4" w:rsidRDefault="00AB7574" w:rsidP="008676D3">
      <w:pPr>
        <w:spacing w:before="0"/>
      </w:pPr>
      <w:r>
        <w:rPr>
          <w:color w:val="000000"/>
        </w:rPr>
        <w:t xml:space="preserve">            </w:t>
      </w:r>
      <w:r w:rsidR="006448E4">
        <w:rPr>
          <w:color w:val="000000"/>
        </w:rPr>
        <w:t>ADR Evropská dohoda o mezinárodní silniční přepravě nebezpečných věcí</w:t>
      </w:r>
    </w:p>
    <w:p w:rsidR="006448E4" w:rsidRPr="00AB7574" w:rsidRDefault="00AB7574" w:rsidP="008676D3">
      <w:pPr>
        <w:pStyle w:val="Normlnweb"/>
        <w:spacing w:before="240" w:beforeAutospacing="0" w:after="0"/>
        <w:rPr>
          <w:lang w:val="en-US"/>
        </w:rPr>
      </w:pPr>
      <w:r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           </w:t>
      </w:r>
      <w:r w:rsidR="00157F7A">
        <w:rPr>
          <w:rFonts w:ascii="Arial" w:hAnsi="Arial" w:cs="Arial"/>
          <w:iCs/>
          <w:color w:val="000000"/>
          <w:sz w:val="22"/>
          <w:szCs w:val="22"/>
          <w:lang w:val="en-US"/>
        </w:rPr>
        <w:t>Eye Irrit.2 Dráždivost pro oči</w:t>
      </w:r>
      <w:r w:rsidR="006448E4" w:rsidRPr="00AB7574">
        <w:rPr>
          <w:rFonts w:ascii="Arial" w:hAnsi="Arial" w:cs="Arial"/>
          <w:iCs/>
          <w:color w:val="000000"/>
          <w:sz w:val="22"/>
          <w:szCs w:val="22"/>
          <w:lang w:val="en-US"/>
        </w:rPr>
        <w:t>, kat.2</w:t>
      </w:r>
    </w:p>
    <w:p w:rsidR="00A6696D" w:rsidRPr="0079644E" w:rsidRDefault="00AB7574" w:rsidP="00A6696D">
      <w:pPr>
        <w:pStyle w:val="Normlnweb"/>
        <w:pBdr>
          <w:bottom w:val="single" w:sz="4" w:space="1" w:color="000000"/>
        </w:pBdr>
        <w:spacing w:after="0"/>
      </w:pPr>
      <w:r w:rsidRPr="0079644E">
        <w:t xml:space="preserve">            </w:t>
      </w:r>
      <w:r w:rsidR="0079644E">
        <w:rPr>
          <w:rFonts w:ascii="Arial" w:hAnsi="Arial" w:cs="Arial"/>
          <w:iCs/>
          <w:sz w:val="22"/>
          <w:szCs w:val="22"/>
        </w:rPr>
        <w:t>Aquatic Chronic 3</w:t>
      </w:r>
      <w:r w:rsidR="00A6696D" w:rsidRPr="0079644E">
        <w:rPr>
          <w:rFonts w:ascii="Arial" w:hAnsi="Arial" w:cs="Arial"/>
          <w:iCs/>
          <w:sz w:val="22"/>
          <w:szCs w:val="22"/>
        </w:rPr>
        <w:t xml:space="preserve"> -Chronická toxicita,vodní prostředí , kat.</w:t>
      </w:r>
      <w:r w:rsidR="0079644E">
        <w:rPr>
          <w:rFonts w:ascii="Arial" w:hAnsi="Arial" w:cs="Arial"/>
          <w:iCs/>
          <w:sz w:val="22"/>
          <w:szCs w:val="22"/>
        </w:rPr>
        <w:t>3</w:t>
      </w:r>
    </w:p>
    <w:p w:rsidR="00A6696D" w:rsidRPr="0079644E" w:rsidRDefault="0079644E" w:rsidP="00A6696D">
      <w:pPr>
        <w:pStyle w:val="Normlnweb"/>
        <w:pBdr>
          <w:bottom w:val="single" w:sz="4" w:space="1" w:color="000000"/>
        </w:pBdr>
        <w:spacing w:after="0"/>
      </w:pPr>
      <w:r>
        <w:rPr>
          <w:rFonts w:ascii="Arial" w:hAnsi="Arial" w:cs="Arial"/>
          <w:iCs/>
          <w:color w:val="000000"/>
          <w:sz w:val="22"/>
          <w:szCs w:val="22"/>
        </w:rPr>
        <w:t xml:space="preserve">           </w:t>
      </w:r>
      <w:r w:rsidR="00A6696D" w:rsidRPr="0079644E">
        <w:rPr>
          <w:rFonts w:ascii="Arial" w:hAnsi="Arial" w:cs="Arial"/>
          <w:iCs/>
          <w:color w:val="000000"/>
          <w:sz w:val="22"/>
          <w:szCs w:val="22"/>
        </w:rPr>
        <w:t>Skin Sens.1 - Senzibilizace kůže, kat.1</w:t>
      </w:r>
    </w:p>
    <w:p w:rsidR="00B77F44" w:rsidRDefault="00B77F44" w:rsidP="00157F7A">
      <w:pPr>
        <w:rPr>
          <w:b/>
        </w:rPr>
      </w:pPr>
    </w:p>
    <w:p w:rsidR="006448E4" w:rsidRPr="006448E4" w:rsidRDefault="006448E4" w:rsidP="008676D3">
      <w:r>
        <w:rPr>
          <w:b/>
        </w:rPr>
        <w:lastRenderedPageBreak/>
        <w:t xml:space="preserve">Změny  bezpečnostního listu </w:t>
      </w:r>
      <w:r w:rsidR="00477760" w:rsidRPr="00477760">
        <w:rPr>
          <w:b/>
        </w:rPr>
        <w:t>:</w:t>
      </w:r>
      <w:r w:rsidR="00477760">
        <w:rPr>
          <w:b/>
        </w:rPr>
        <w:br/>
      </w:r>
      <w:r>
        <w:rPr>
          <w:rFonts w:cs="Arial"/>
          <w:i/>
          <w:iCs/>
          <w:lang w:val="en-US"/>
        </w:rPr>
        <w:t>Tento bezpečnostní list nahrazuje předešlé verze, které tímto pozbývají platnosti.</w:t>
      </w:r>
    </w:p>
    <w:p w:rsidR="006448E4" w:rsidRPr="006448E4" w:rsidRDefault="006448E4" w:rsidP="008676D3">
      <w:pPr>
        <w:pStyle w:val="Normlnweb"/>
        <w:pBdr>
          <w:bottom w:val="single" w:sz="4" w:space="1" w:color="000000"/>
        </w:pBdr>
        <w:spacing w:after="0"/>
        <w:rPr>
          <w:rFonts w:ascii="Arial" w:hAnsi="Arial" w:cs="Arial"/>
          <w:sz w:val="22"/>
          <w:szCs w:val="22"/>
          <w:lang w:val="en-US"/>
        </w:rPr>
      </w:pPr>
      <w:r w:rsidRPr="006448E4">
        <w:rPr>
          <w:rFonts w:ascii="Arial" w:hAnsi="Arial" w:cs="Arial"/>
          <w:sz w:val="22"/>
          <w:szCs w:val="22"/>
          <w:lang w:val="en-US"/>
        </w:rPr>
        <w:t>Revize :</w:t>
      </w:r>
    </w:p>
    <w:tbl>
      <w:tblPr>
        <w:tblW w:w="9781" w:type="dxa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37"/>
        <w:gridCol w:w="3224"/>
        <w:gridCol w:w="3420"/>
      </w:tblGrid>
      <w:tr w:rsidR="006448E4" w:rsidRPr="006448E4" w:rsidTr="006448E4">
        <w:trPr>
          <w:tblCellSpacing w:w="0" w:type="dxa"/>
        </w:trPr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E4" w:rsidRPr="006448E4" w:rsidRDefault="006448E4" w:rsidP="006448E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6448E4">
              <w:rPr>
                <w:rFonts w:eastAsia="Times New Roman" w:cs="Arial"/>
                <w:b/>
                <w:bCs/>
                <w:i/>
                <w:iCs/>
                <w:lang w:val="en-US" w:eastAsia="cs-CZ"/>
              </w:rPr>
              <w:t>Verze</w:t>
            </w:r>
          </w:p>
        </w:tc>
        <w:tc>
          <w:tcPr>
            <w:tcW w:w="3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E4" w:rsidRPr="006448E4" w:rsidRDefault="006448E4" w:rsidP="006448E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6448E4">
              <w:rPr>
                <w:rFonts w:eastAsia="Times New Roman" w:cs="Arial"/>
                <w:b/>
                <w:bCs/>
                <w:i/>
                <w:iCs/>
                <w:lang w:val="en-US" w:eastAsia="cs-CZ"/>
              </w:rPr>
              <w:t>Datum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E4" w:rsidRPr="006448E4" w:rsidRDefault="006448E4" w:rsidP="006448E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48E4">
              <w:rPr>
                <w:rFonts w:eastAsia="Times New Roman" w:cs="Arial"/>
                <w:b/>
                <w:bCs/>
                <w:i/>
                <w:iCs/>
                <w:lang w:val="en-US" w:eastAsia="cs-CZ"/>
              </w:rPr>
              <w:t>Zm</w:t>
            </w:r>
            <w:r w:rsidRPr="006448E4">
              <w:rPr>
                <w:rFonts w:eastAsia="Times New Roman" w:cs="Arial"/>
                <w:b/>
                <w:bCs/>
                <w:i/>
                <w:iCs/>
                <w:lang w:eastAsia="cs-CZ"/>
              </w:rPr>
              <w:t>ěny</w:t>
            </w:r>
          </w:p>
        </w:tc>
      </w:tr>
      <w:tr w:rsidR="006448E4" w:rsidRPr="006448E4" w:rsidTr="006448E4">
        <w:trPr>
          <w:trHeight w:val="270"/>
          <w:tblCellSpacing w:w="0" w:type="dxa"/>
        </w:trPr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E4" w:rsidRPr="006448E4" w:rsidRDefault="006448E4" w:rsidP="006448E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E4" w:rsidRPr="006448E4" w:rsidRDefault="006448E4" w:rsidP="006448E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E4" w:rsidRPr="006448E4" w:rsidRDefault="006448E4" w:rsidP="006448E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</w:p>
        </w:tc>
      </w:tr>
    </w:tbl>
    <w:p w:rsidR="006448E4" w:rsidRPr="006448E4" w:rsidRDefault="006448E4" w:rsidP="006448E4">
      <w:pPr>
        <w:pBdr>
          <w:bottom w:val="single" w:sz="4" w:space="1" w:color="000000"/>
        </w:pBd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7F44" w:rsidRDefault="00B77F44" w:rsidP="00B77F44">
      <w:pPr>
        <w:pStyle w:val="Normlnweb"/>
        <w:spacing w:after="0"/>
        <w:rPr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Pokyny pro školení</w:t>
      </w:r>
    </w:p>
    <w:p w:rsidR="00B77F44" w:rsidRDefault="00B77F44" w:rsidP="00B77F44">
      <w:pPr>
        <w:pStyle w:val="Normlnweb"/>
        <w:spacing w:after="0"/>
      </w:pPr>
      <w:r>
        <w:rPr>
          <w:rFonts w:ascii="Arial" w:hAnsi="Arial" w:cs="Arial"/>
          <w:i/>
          <w:iCs/>
          <w:sz w:val="22"/>
          <w:szCs w:val="22"/>
          <w:lang w:val="en-US"/>
        </w:rPr>
        <w:t>P</w:t>
      </w:r>
      <w:r>
        <w:rPr>
          <w:rFonts w:ascii="Arial" w:hAnsi="Arial" w:cs="Arial"/>
          <w:i/>
          <w:iCs/>
          <w:sz w:val="22"/>
          <w:szCs w:val="22"/>
        </w:rPr>
        <w:t>ři řádném zaškolení pro práci je minimální nebezpečí poškození zdraví. Pokyny pro školení – viz. Zákoník práce ( seznámit pracovníky s doporučeným způsobem použití, povinnými ochrannými prostředky, první pomocí a zakázanými manipulacemi se směsí.</w:t>
      </w:r>
    </w:p>
    <w:p w:rsidR="00B77F44" w:rsidRDefault="00B77F44" w:rsidP="00B77F44">
      <w:pPr>
        <w:pStyle w:val="Normlnweb"/>
        <w:spacing w:after="0"/>
      </w:pP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Fyzické osoby provád</w:t>
      </w:r>
      <w:r>
        <w:rPr>
          <w:rFonts w:ascii="Arial" w:hAnsi="Arial" w:cs="Arial"/>
          <w:b/>
          <w:bCs/>
          <w:i/>
          <w:iCs/>
          <w:sz w:val="22"/>
          <w:szCs w:val="22"/>
        </w:rPr>
        <w:t>ějící jednotlivé činnosti v rámci nakládání s tímto přípravkem jsou zaškolovány a pravidelně, nejméně jednou ročně , proškolovány.</w:t>
      </w:r>
    </w:p>
    <w:p w:rsidR="00B77F44" w:rsidRDefault="00B77F44" w:rsidP="00B77F44">
      <w:pPr>
        <w:pStyle w:val="Normlnweb"/>
        <w:spacing w:after="0"/>
      </w:pPr>
      <w:r>
        <w:rPr>
          <w:rFonts w:ascii="Arial" w:hAnsi="Arial" w:cs="Arial"/>
          <w:i/>
          <w:iCs/>
        </w:rPr>
        <w:t>Informace o zdrojích údajů použitých při sestavování bezpečnostního listu :</w:t>
      </w:r>
    </w:p>
    <w:p w:rsidR="00B77F44" w:rsidRDefault="00B77F44" w:rsidP="00B77F44">
      <w:pPr>
        <w:pStyle w:val="Normlnweb"/>
        <w:pBdr>
          <w:bottom w:val="single" w:sz="4" w:space="1" w:color="000000"/>
        </w:pBdr>
        <w:spacing w:after="0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>Údaje výrobce , dodavatelů, databáze (zejména EUROLIST) a katalogy MERC a FLUKA, platná legislativa.</w:t>
      </w:r>
    </w:p>
    <w:p w:rsidR="00B77F44" w:rsidRDefault="00B77F44" w:rsidP="00B77F44">
      <w:pPr>
        <w:pStyle w:val="Normlnweb"/>
        <w:pBdr>
          <w:bottom w:val="single" w:sz="4" w:space="1" w:color="000000"/>
        </w:pBdr>
        <w:spacing w:after="0"/>
        <w:rPr>
          <w:rFonts w:ascii="Arial" w:hAnsi="Arial" w:cs="Arial"/>
          <w:i/>
          <w:iCs/>
          <w:sz w:val="22"/>
          <w:szCs w:val="22"/>
          <w:lang w:val="en-US"/>
        </w:rPr>
      </w:pPr>
    </w:p>
    <w:p w:rsidR="00FE68BE" w:rsidRDefault="001E1918" w:rsidP="00B77F44">
      <w:pPr>
        <w:pStyle w:val="Tabulka"/>
      </w:pPr>
      <w:r w:rsidRPr="00B77F44">
        <w:br/>
        <w:t>Informace obsažené v tomto bezpečnostním listu vycházejí ze zdrojů, technických znalostí a současné legislativy na evropské a státní úrovni, aniž by bylo možné zaručit jejich přesnost. Tyto informace nelze považovat za záruku vlastností produktu, je to prostě popis bezpečnostních požadavků. Pracovní metodiku a podmínky pro uživatele tohoto výrobku nejsou uvnitř našeho vědomí</w:t>
      </w:r>
      <w:r>
        <w:t xml:space="preserve"> nebo kontroly, a</w:t>
      </w:r>
      <w:r w:rsidRPr="001E1918">
        <w:t xml:space="preserve"> je</w:t>
      </w:r>
      <w:r>
        <w:t xml:space="preserve"> to nakonec odpovědností uživatelů, aby přijali</w:t>
      </w:r>
      <w:r w:rsidRPr="001E1918">
        <w:t xml:space="preserve"> nezbytná opa</w:t>
      </w:r>
      <w:r>
        <w:t>tření k získání právní</w:t>
      </w:r>
      <w:r w:rsidR="009A64EB">
        <w:t>ch</w:t>
      </w:r>
      <w:r>
        <w:t xml:space="preserve"> požadavků</w:t>
      </w:r>
      <w:r w:rsidRPr="001E1918">
        <w:t xml:space="preserve"> týkající</w:t>
      </w:r>
      <w:r>
        <w:t>ch</w:t>
      </w:r>
      <w:r w:rsidRPr="001E1918">
        <w:t xml:space="preserve"> se manipulace, skladování, použití a likvidaci chemických výrobků. Informace v tom</w:t>
      </w:r>
      <w:r w:rsidR="00BA3DA0">
        <w:t>to technickém listu zabezpečení</w:t>
      </w:r>
      <w:r w:rsidRPr="001E1918">
        <w:t xml:space="preserve"> se vztahuje pouze na tento produkt, který by neměl být používán pro jiné než uvedené potřeby.</w:t>
      </w:r>
    </w:p>
    <w:p w:rsidR="00EC6572" w:rsidRDefault="00EC6572" w:rsidP="00A0438C">
      <w:pPr>
        <w:ind w:left="851"/>
        <w:rPr>
          <w:sz w:val="20"/>
          <w:szCs w:val="20"/>
        </w:rPr>
      </w:pPr>
    </w:p>
    <w:p w:rsidR="00EC6572" w:rsidRPr="00A0438C" w:rsidRDefault="00EC6572" w:rsidP="00EC6572">
      <w:pPr>
        <w:ind w:left="851"/>
        <w:jc w:val="center"/>
        <w:rPr>
          <w:sz w:val="20"/>
          <w:szCs w:val="20"/>
        </w:rPr>
      </w:pPr>
      <w:r>
        <w:rPr>
          <w:sz w:val="20"/>
          <w:szCs w:val="20"/>
        </w:rPr>
        <w:t>Konec bezpečnostního listu.</w:t>
      </w:r>
    </w:p>
    <w:sectPr w:rsidR="00EC6572" w:rsidRPr="00A0438C" w:rsidSect="008F0394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E57" w:rsidRDefault="000F4E57" w:rsidP="008F0394">
      <w:pPr>
        <w:spacing w:after="0" w:line="240" w:lineRule="auto"/>
      </w:pPr>
      <w:r>
        <w:separator/>
      </w:r>
    </w:p>
  </w:endnote>
  <w:endnote w:type="continuationSeparator" w:id="1">
    <w:p w:rsidR="000F4E57" w:rsidRDefault="000F4E57" w:rsidP="008F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E57" w:rsidRDefault="000F4E57" w:rsidP="008F0394">
      <w:pPr>
        <w:spacing w:after="0" w:line="240" w:lineRule="auto"/>
      </w:pPr>
      <w:r>
        <w:separator/>
      </w:r>
    </w:p>
  </w:footnote>
  <w:footnote w:type="continuationSeparator" w:id="1">
    <w:p w:rsidR="000F4E57" w:rsidRDefault="000F4E57" w:rsidP="008F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55" w:rsidRDefault="00CE2255" w:rsidP="008F0394">
    <w:pPr>
      <w:spacing w:after="80"/>
    </w:pPr>
  </w:p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/>
    </w:tblPr>
    <w:tblGrid>
      <w:gridCol w:w="9726"/>
    </w:tblGrid>
    <w:tr w:rsidR="00CE2255" w:rsidRPr="002B197F" w:rsidTr="002B197F">
      <w:trPr>
        <w:trHeight w:val="1701"/>
      </w:trPr>
      <w:tc>
        <w:tcPr>
          <w:tcW w:w="9726" w:type="dxa"/>
          <w:shd w:val="clear" w:color="auto" w:fill="auto"/>
          <w:vAlign w:val="center"/>
        </w:tcPr>
        <w:p w:rsidR="00CE2255" w:rsidRPr="002B197F" w:rsidRDefault="00CE2255" w:rsidP="002B197F">
          <w:pPr>
            <w:pStyle w:val="Zhlav"/>
            <w:spacing w:after="120"/>
            <w:jc w:val="center"/>
            <w:rPr>
              <w:rFonts w:cs="Arial"/>
              <w:b/>
              <w:spacing w:val="40"/>
              <w:sz w:val="40"/>
              <w:szCs w:val="40"/>
            </w:rPr>
          </w:pPr>
          <w:r w:rsidRPr="002B197F">
            <w:rPr>
              <w:rFonts w:cs="Arial"/>
              <w:b/>
              <w:spacing w:val="40"/>
              <w:sz w:val="40"/>
              <w:szCs w:val="40"/>
            </w:rPr>
            <w:t>BEZPEČNOSTNÍ LIST</w:t>
          </w:r>
        </w:p>
        <w:p w:rsidR="00CE2255" w:rsidRPr="002B197F" w:rsidRDefault="00CE2255" w:rsidP="002B197F">
          <w:pPr>
            <w:pStyle w:val="Zhlav"/>
            <w:jc w:val="center"/>
            <w:rPr>
              <w:rFonts w:cs="Arial"/>
              <w:sz w:val="24"/>
              <w:szCs w:val="24"/>
            </w:rPr>
          </w:pPr>
          <w:r w:rsidRPr="002B197F">
            <w:rPr>
              <w:rFonts w:cs="Arial"/>
              <w:sz w:val="24"/>
              <w:szCs w:val="24"/>
            </w:rPr>
            <w:t>Podle Nařízení evropského parlamentu a Rady (ES) č. 1907/2006 (REACH)</w:t>
          </w:r>
        </w:p>
        <w:p w:rsidR="00CE2255" w:rsidRPr="002B197F" w:rsidRDefault="00CE2255" w:rsidP="002B197F">
          <w:pPr>
            <w:pStyle w:val="Zhlav"/>
            <w:jc w:val="center"/>
            <w:rPr>
              <w:rFonts w:cs="Arial"/>
            </w:rPr>
          </w:pPr>
          <w:r w:rsidRPr="002B197F">
            <w:rPr>
              <w:rFonts w:cs="Arial"/>
              <w:sz w:val="24"/>
              <w:szCs w:val="24"/>
            </w:rPr>
            <w:t xml:space="preserve">a </w:t>
          </w:r>
          <w:r w:rsidRPr="00453542">
            <w:rPr>
              <w:rFonts w:cs="Arial"/>
              <w:sz w:val="24"/>
              <w:szCs w:val="24"/>
            </w:rPr>
            <w:t>nařízení Komise EU č. 830/2015</w:t>
          </w:r>
        </w:p>
      </w:tc>
    </w:tr>
    <w:tr w:rsidR="00CE2255" w:rsidRPr="002B197F" w:rsidTr="002B197F">
      <w:tc>
        <w:tcPr>
          <w:tcW w:w="9726" w:type="dxa"/>
          <w:shd w:val="clear" w:color="auto" w:fill="auto"/>
          <w:vAlign w:val="center"/>
        </w:tcPr>
        <w:p w:rsidR="00CE2255" w:rsidRPr="002B197F" w:rsidRDefault="00CE2255" w:rsidP="002B197F">
          <w:pPr>
            <w:pStyle w:val="Zhlav"/>
            <w:tabs>
              <w:tab w:val="clear" w:pos="4536"/>
              <w:tab w:val="left" w:pos="591"/>
              <w:tab w:val="center" w:pos="4844"/>
            </w:tabs>
            <w:spacing w:before="80" w:after="80"/>
            <w:rPr>
              <w:rFonts w:cs="Arial"/>
              <w:sz w:val="24"/>
              <w:szCs w:val="24"/>
            </w:rPr>
          </w:pPr>
          <w:r w:rsidRPr="002B197F">
            <w:rPr>
              <w:rFonts w:cs="Arial"/>
              <w:sz w:val="24"/>
              <w:szCs w:val="24"/>
            </w:rPr>
            <w:tab/>
            <w:t xml:space="preserve">Datum vydání: </w:t>
          </w:r>
          <w:r w:rsidR="008661F7">
            <w:rPr>
              <w:rFonts w:cs="Arial"/>
              <w:sz w:val="24"/>
              <w:szCs w:val="24"/>
            </w:rPr>
            <w:t>30-5</w:t>
          </w:r>
          <w:r>
            <w:rPr>
              <w:rFonts w:cs="Arial"/>
              <w:sz w:val="24"/>
              <w:szCs w:val="24"/>
            </w:rPr>
            <w:t>-2018</w:t>
          </w:r>
          <w:r>
            <w:rPr>
              <w:rFonts w:cs="Arial"/>
              <w:sz w:val="24"/>
              <w:szCs w:val="24"/>
            </w:rPr>
            <w:tab/>
            <w:t xml:space="preserve">         Datum revize: </w:t>
          </w:r>
          <w:r w:rsidRPr="002B197F">
            <w:rPr>
              <w:rFonts w:cs="Arial"/>
              <w:sz w:val="24"/>
              <w:szCs w:val="24"/>
            </w:rPr>
            <w:tab/>
            <w:t xml:space="preserve">Strana: </w:t>
          </w:r>
          <w:r w:rsidR="00B53A8F" w:rsidRPr="002B197F">
            <w:rPr>
              <w:rFonts w:cs="Arial"/>
              <w:sz w:val="24"/>
              <w:szCs w:val="24"/>
            </w:rPr>
            <w:fldChar w:fldCharType="begin"/>
          </w:r>
          <w:r w:rsidRPr="002B197F">
            <w:rPr>
              <w:rFonts w:cs="Arial"/>
              <w:sz w:val="24"/>
              <w:szCs w:val="24"/>
            </w:rPr>
            <w:instrText>PAGE   \* MERGEFORMAT</w:instrText>
          </w:r>
          <w:r w:rsidR="00B53A8F" w:rsidRPr="002B197F">
            <w:rPr>
              <w:rFonts w:cs="Arial"/>
              <w:sz w:val="24"/>
              <w:szCs w:val="24"/>
            </w:rPr>
            <w:fldChar w:fldCharType="separate"/>
          </w:r>
          <w:r w:rsidR="0079644E">
            <w:rPr>
              <w:rFonts w:cs="Arial"/>
              <w:noProof/>
              <w:sz w:val="24"/>
              <w:szCs w:val="24"/>
            </w:rPr>
            <w:t>2</w:t>
          </w:r>
          <w:r w:rsidR="00B53A8F" w:rsidRPr="002B197F">
            <w:rPr>
              <w:rFonts w:cs="Arial"/>
              <w:sz w:val="24"/>
              <w:szCs w:val="24"/>
            </w:rPr>
            <w:fldChar w:fldCharType="end"/>
          </w:r>
          <w:r w:rsidRPr="002B197F">
            <w:rPr>
              <w:rFonts w:cs="Arial"/>
              <w:sz w:val="24"/>
              <w:szCs w:val="24"/>
            </w:rPr>
            <w:t>/</w:t>
          </w:r>
          <w:r w:rsidR="00B53A8F" w:rsidRPr="002B197F">
            <w:rPr>
              <w:rFonts w:cs="Arial"/>
              <w:bCs/>
              <w:sz w:val="24"/>
              <w:szCs w:val="24"/>
            </w:rPr>
            <w:fldChar w:fldCharType="begin"/>
          </w:r>
          <w:r w:rsidRPr="002B197F">
            <w:rPr>
              <w:rFonts w:cs="Arial"/>
              <w:bCs/>
              <w:sz w:val="24"/>
              <w:szCs w:val="24"/>
            </w:rPr>
            <w:instrText>NUMPAGES</w:instrText>
          </w:r>
          <w:r w:rsidR="00B53A8F" w:rsidRPr="002B197F">
            <w:rPr>
              <w:rFonts w:cs="Arial"/>
              <w:bCs/>
              <w:sz w:val="24"/>
              <w:szCs w:val="24"/>
            </w:rPr>
            <w:fldChar w:fldCharType="separate"/>
          </w:r>
          <w:r w:rsidR="0079644E">
            <w:rPr>
              <w:rFonts w:cs="Arial"/>
              <w:bCs/>
              <w:noProof/>
              <w:sz w:val="24"/>
              <w:szCs w:val="24"/>
            </w:rPr>
            <w:t>13</w:t>
          </w:r>
          <w:r w:rsidR="00B53A8F" w:rsidRPr="002B197F">
            <w:rPr>
              <w:rFonts w:cs="Arial"/>
              <w:bCs/>
              <w:sz w:val="24"/>
              <w:szCs w:val="24"/>
            </w:rPr>
            <w:fldChar w:fldCharType="end"/>
          </w:r>
        </w:p>
      </w:tc>
    </w:tr>
    <w:tr w:rsidR="00CE2255" w:rsidRPr="002B197F" w:rsidTr="002B197F">
      <w:tc>
        <w:tcPr>
          <w:tcW w:w="9726" w:type="dxa"/>
          <w:shd w:val="clear" w:color="auto" w:fill="auto"/>
          <w:vAlign w:val="center"/>
        </w:tcPr>
        <w:p w:rsidR="00CE2255" w:rsidRPr="002B197F" w:rsidRDefault="00CE2255" w:rsidP="00BB2F8B">
          <w:pPr>
            <w:pStyle w:val="Zhlav"/>
            <w:tabs>
              <w:tab w:val="clear" w:pos="4536"/>
              <w:tab w:val="clear" w:pos="9072"/>
              <w:tab w:val="left" w:pos="591"/>
            </w:tabs>
            <w:spacing w:before="80" w:after="80"/>
            <w:ind w:left="2292" w:hanging="2292"/>
            <w:rPr>
              <w:rFonts w:cs="Arial"/>
              <w:sz w:val="24"/>
              <w:szCs w:val="24"/>
            </w:rPr>
          </w:pPr>
          <w:r w:rsidRPr="002B197F">
            <w:rPr>
              <w:rFonts w:cs="Arial"/>
              <w:sz w:val="24"/>
              <w:szCs w:val="24"/>
            </w:rPr>
            <w:tab/>
            <w:t>Název výrobku:</w:t>
          </w:r>
          <w:r>
            <w:rPr>
              <w:rFonts w:cs="Arial"/>
              <w:sz w:val="24"/>
              <w:szCs w:val="24"/>
            </w:rPr>
            <w:t xml:space="preserve"> </w:t>
          </w:r>
          <w:r w:rsidR="008661F7">
            <w:rPr>
              <w:rFonts w:cs="Arial"/>
              <w:sz w:val="24"/>
              <w:szCs w:val="24"/>
            </w:rPr>
            <w:t xml:space="preserve">                </w:t>
          </w:r>
          <w:r w:rsidR="008661F7">
            <w:rPr>
              <w:rFonts w:cs="Arial"/>
              <w:b/>
              <w:sz w:val="24"/>
              <w:szCs w:val="24"/>
            </w:rPr>
            <w:t xml:space="preserve">  BATAVAN – Filtry do obuvi  </w:t>
          </w:r>
        </w:p>
      </w:tc>
    </w:tr>
  </w:tbl>
  <w:p w:rsidR="00CE2255" w:rsidRDefault="00CE225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A22"/>
    <w:multiLevelType w:val="hybridMultilevel"/>
    <w:tmpl w:val="E102C3FE"/>
    <w:lvl w:ilvl="0" w:tplc="A5B21E2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B25C3"/>
    <w:multiLevelType w:val="hybridMultilevel"/>
    <w:tmpl w:val="DF8EFEC6"/>
    <w:lvl w:ilvl="0" w:tplc="B14E854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40F70"/>
    <w:multiLevelType w:val="hybridMultilevel"/>
    <w:tmpl w:val="F0B2770E"/>
    <w:lvl w:ilvl="0" w:tplc="94B8D354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C49FC"/>
    <w:multiLevelType w:val="hybridMultilevel"/>
    <w:tmpl w:val="92BCAFDC"/>
    <w:lvl w:ilvl="0" w:tplc="7ACE9640">
      <w:numFmt w:val="bullet"/>
      <w:lvlText w:val="-"/>
      <w:lvlJc w:val="left"/>
      <w:pPr>
        <w:ind w:left="7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47054546"/>
    <w:multiLevelType w:val="hybridMultilevel"/>
    <w:tmpl w:val="7E4E1CC6"/>
    <w:lvl w:ilvl="0" w:tplc="27E601F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1D5538"/>
    <w:multiLevelType w:val="multilevel"/>
    <w:tmpl w:val="2FE8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F427B"/>
    <w:multiLevelType w:val="multilevel"/>
    <w:tmpl w:val="5A30561C"/>
    <w:lvl w:ilvl="0">
      <w:start w:val="1"/>
      <w:numFmt w:val="decimal"/>
      <w:pStyle w:val="Nadpis1"/>
      <w:lvlText w:val="%1."/>
      <w:lvlJc w:val="left"/>
      <w:pPr>
        <w:ind w:left="851" w:hanging="73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022" w:hanging="738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93B1518"/>
    <w:multiLevelType w:val="hybridMultilevel"/>
    <w:tmpl w:val="A1B07320"/>
    <w:lvl w:ilvl="0" w:tplc="DDC8C6F0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8F0394"/>
    <w:rsid w:val="000075B1"/>
    <w:rsid w:val="000100AA"/>
    <w:rsid w:val="00013DA9"/>
    <w:rsid w:val="0001425A"/>
    <w:rsid w:val="00025C4A"/>
    <w:rsid w:val="00026F5B"/>
    <w:rsid w:val="000273AA"/>
    <w:rsid w:val="0003022E"/>
    <w:rsid w:val="0003056C"/>
    <w:rsid w:val="00032FA5"/>
    <w:rsid w:val="00035BC2"/>
    <w:rsid w:val="0004262F"/>
    <w:rsid w:val="00044022"/>
    <w:rsid w:val="000449EA"/>
    <w:rsid w:val="00045744"/>
    <w:rsid w:val="00051C58"/>
    <w:rsid w:val="00053E7B"/>
    <w:rsid w:val="0005610A"/>
    <w:rsid w:val="00057362"/>
    <w:rsid w:val="00057F3B"/>
    <w:rsid w:val="000659F6"/>
    <w:rsid w:val="000663BF"/>
    <w:rsid w:val="00066B91"/>
    <w:rsid w:val="000676BE"/>
    <w:rsid w:val="00071AE1"/>
    <w:rsid w:val="000769B4"/>
    <w:rsid w:val="00081496"/>
    <w:rsid w:val="000825B8"/>
    <w:rsid w:val="00082FB5"/>
    <w:rsid w:val="00083459"/>
    <w:rsid w:val="00087129"/>
    <w:rsid w:val="00094693"/>
    <w:rsid w:val="00094B00"/>
    <w:rsid w:val="000958C9"/>
    <w:rsid w:val="000A54F7"/>
    <w:rsid w:val="000A5B48"/>
    <w:rsid w:val="000A7F82"/>
    <w:rsid w:val="000B08FA"/>
    <w:rsid w:val="000B50A9"/>
    <w:rsid w:val="000B6C26"/>
    <w:rsid w:val="000B72A3"/>
    <w:rsid w:val="000C63BC"/>
    <w:rsid w:val="000D2C7B"/>
    <w:rsid w:val="000E3C13"/>
    <w:rsid w:val="000E4F8E"/>
    <w:rsid w:val="000E521A"/>
    <w:rsid w:val="000E6787"/>
    <w:rsid w:val="000E6D1A"/>
    <w:rsid w:val="000F1445"/>
    <w:rsid w:val="000F1923"/>
    <w:rsid w:val="000F42AB"/>
    <w:rsid w:val="000F4E57"/>
    <w:rsid w:val="001040DA"/>
    <w:rsid w:val="0010552B"/>
    <w:rsid w:val="00111FF2"/>
    <w:rsid w:val="00112A5B"/>
    <w:rsid w:val="00113D20"/>
    <w:rsid w:val="00114E35"/>
    <w:rsid w:val="0012145C"/>
    <w:rsid w:val="00125D70"/>
    <w:rsid w:val="001277A7"/>
    <w:rsid w:val="00131958"/>
    <w:rsid w:val="00134D42"/>
    <w:rsid w:val="0013685C"/>
    <w:rsid w:val="0013705B"/>
    <w:rsid w:val="00141FB9"/>
    <w:rsid w:val="00142298"/>
    <w:rsid w:val="00143C3D"/>
    <w:rsid w:val="00152915"/>
    <w:rsid w:val="001530BA"/>
    <w:rsid w:val="00154C4F"/>
    <w:rsid w:val="00157F7A"/>
    <w:rsid w:val="00161D47"/>
    <w:rsid w:val="00163C76"/>
    <w:rsid w:val="001702FE"/>
    <w:rsid w:val="00172621"/>
    <w:rsid w:val="001773D9"/>
    <w:rsid w:val="00180350"/>
    <w:rsid w:val="0018074B"/>
    <w:rsid w:val="001829A9"/>
    <w:rsid w:val="001833B4"/>
    <w:rsid w:val="00184672"/>
    <w:rsid w:val="00191659"/>
    <w:rsid w:val="00194F89"/>
    <w:rsid w:val="0019680F"/>
    <w:rsid w:val="001A1EEE"/>
    <w:rsid w:val="001A64FB"/>
    <w:rsid w:val="001B0E4C"/>
    <w:rsid w:val="001C7C06"/>
    <w:rsid w:val="001D6D2C"/>
    <w:rsid w:val="001E10CC"/>
    <w:rsid w:val="001E1918"/>
    <w:rsid w:val="001E2E33"/>
    <w:rsid w:val="001E3B73"/>
    <w:rsid w:val="001E4322"/>
    <w:rsid w:val="001E4C65"/>
    <w:rsid w:val="001E4EBB"/>
    <w:rsid w:val="001E6AAF"/>
    <w:rsid w:val="001E7583"/>
    <w:rsid w:val="001F17F3"/>
    <w:rsid w:val="001F697B"/>
    <w:rsid w:val="001F6D79"/>
    <w:rsid w:val="001F7C16"/>
    <w:rsid w:val="00207585"/>
    <w:rsid w:val="00212A6E"/>
    <w:rsid w:val="002142C0"/>
    <w:rsid w:val="00214636"/>
    <w:rsid w:val="00224B07"/>
    <w:rsid w:val="00226052"/>
    <w:rsid w:val="0023226F"/>
    <w:rsid w:val="00233AB8"/>
    <w:rsid w:val="00234025"/>
    <w:rsid w:val="00234F92"/>
    <w:rsid w:val="002371C3"/>
    <w:rsid w:val="0024264D"/>
    <w:rsid w:val="00246336"/>
    <w:rsid w:val="002529C8"/>
    <w:rsid w:val="002552C4"/>
    <w:rsid w:val="00260967"/>
    <w:rsid w:val="002664D0"/>
    <w:rsid w:val="002701B8"/>
    <w:rsid w:val="00270971"/>
    <w:rsid w:val="002714C5"/>
    <w:rsid w:val="00271E6C"/>
    <w:rsid w:val="002737F1"/>
    <w:rsid w:val="002749C4"/>
    <w:rsid w:val="0028143B"/>
    <w:rsid w:val="00286D6D"/>
    <w:rsid w:val="00291690"/>
    <w:rsid w:val="002947EE"/>
    <w:rsid w:val="002977DF"/>
    <w:rsid w:val="002A3C24"/>
    <w:rsid w:val="002B0214"/>
    <w:rsid w:val="002B13F9"/>
    <w:rsid w:val="002B197F"/>
    <w:rsid w:val="002B2AD7"/>
    <w:rsid w:val="002C2982"/>
    <w:rsid w:val="002C2C01"/>
    <w:rsid w:val="002C3C19"/>
    <w:rsid w:val="002C4519"/>
    <w:rsid w:val="002C50C6"/>
    <w:rsid w:val="002C5776"/>
    <w:rsid w:val="002D07FA"/>
    <w:rsid w:val="002D4118"/>
    <w:rsid w:val="002D4E9A"/>
    <w:rsid w:val="002D59FD"/>
    <w:rsid w:val="002D5BE7"/>
    <w:rsid w:val="002E304D"/>
    <w:rsid w:val="002E4CCA"/>
    <w:rsid w:val="002F4257"/>
    <w:rsid w:val="002F4813"/>
    <w:rsid w:val="002F64AC"/>
    <w:rsid w:val="002F7144"/>
    <w:rsid w:val="002F78C7"/>
    <w:rsid w:val="00305093"/>
    <w:rsid w:val="0030691C"/>
    <w:rsid w:val="00307FAD"/>
    <w:rsid w:val="00307FCE"/>
    <w:rsid w:val="003103B5"/>
    <w:rsid w:val="003103D7"/>
    <w:rsid w:val="003118AC"/>
    <w:rsid w:val="00311C5D"/>
    <w:rsid w:val="003171FE"/>
    <w:rsid w:val="0031777C"/>
    <w:rsid w:val="0032014C"/>
    <w:rsid w:val="0032527E"/>
    <w:rsid w:val="0032746C"/>
    <w:rsid w:val="0033271A"/>
    <w:rsid w:val="00336E0E"/>
    <w:rsid w:val="00337892"/>
    <w:rsid w:val="00343AE8"/>
    <w:rsid w:val="003445EB"/>
    <w:rsid w:val="00344D3B"/>
    <w:rsid w:val="00352E68"/>
    <w:rsid w:val="00352F37"/>
    <w:rsid w:val="00356125"/>
    <w:rsid w:val="0036160B"/>
    <w:rsid w:val="00362878"/>
    <w:rsid w:val="003628AB"/>
    <w:rsid w:val="00366CE8"/>
    <w:rsid w:val="00367979"/>
    <w:rsid w:val="00371986"/>
    <w:rsid w:val="0037483F"/>
    <w:rsid w:val="00375BC4"/>
    <w:rsid w:val="00380E04"/>
    <w:rsid w:val="00382F8C"/>
    <w:rsid w:val="0038667D"/>
    <w:rsid w:val="00393658"/>
    <w:rsid w:val="003961CB"/>
    <w:rsid w:val="003A31CF"/>
    <w:rsid w:val="003A4F5A"/>
    <w:rsid w:val="003A7E61"/>
    <w:rsid w:val="003B1D1D"/>
    <w:rsid w:val="003B6510"/>
    <w:rsid w:val="003C3C15"/>
    <w:rsid w:val="003C5260"/>
    <w:rsid w:val="003C5B33"/>
    <w:rsid w:val="003D6943"/>
    <w:rsid w:val="003E2937"/>
    <w:rsid w:val="003E2D99"/>
    <w:rsid w:val="003E2DB4"/>
    <w:rsid w:val="003E70E8"/>
    <w:rsid w:val="003F08FC"/>
    <w:rsid w:val="003F150F"/>
    <w:rsid w:val="003F1A5E"/>
    <w:rsid w:val="00401AC1"/>
    <w:rsid w:val="00401C3F"/>
    <w:rsid w:val="00401F4F"/>
    <w:rsid w:val="00403E54"/>
    <w:rsid w:val="004044D3"/>
    <w:rsid w:val="0040635A"/>
    <w:rsid w:val="004115B1"/>
    <w:rsid w:val="00414AAE"/>
    <w:rsid w:val="00420451"/>
    <w:rsid w:val="004209CF"/>
    <w:rsid w:val="00430759"/>
    <w:rsid w:val="00435CA2"/>
    <w:rsid w:val="00436076"/>
    <w:rsid w:val="00440A43"/>
    <w:rsid w:val="00442E8E"/>
    <w:rsid w:val="004439AA"/>
    <w:rsid w:val="004461D2"/>
    <w:rsid w:val="00453542"/>
    <w:rsid w:val="004540DB"/>
    <w:rsid w:val="0045462F"/>
    <w:rsid w:val="004575A7"/>
    <w:rsid w:val="00464031"/>
    <w:rsid w:val="00477760"/>
    <w:rsid w:val="00477EFD"/>
    <w:rsid w:val="004808BE"/>
    <w:rsid w:val="0048240D"/>
    <w:rsid w:val="00483C13"/>
    <w:rsid w:val="00486919"/>
    <w:rsid w:val="00487367"/>
    <w:rsid w:val="004918E9"/>
    <w:rsid w:val="00491B0A"/>
    <w:rsid w:val="00493305"/>
    <w:rsid w:val="004939FA"/>
    <w:rsid w:val="0049476A"/>
    <w:rsid w:val="004959F8"/>
    <w:rsid w:val="00496200"/>
    <w:rsid w:val="00496ABF"/>
    <w:rsid w:val="004A0779"/>
    <w:rsid w:val="004A20BD"/>
    <w:rsid w:val="004B149D"/>
    <w:rsid w:val="004B18A0"/>
    <w:rsid w:val="004B2DE2"/>
    <w:rsid w:val="004B2EAF"/>
    <w:rsid w:val="004B6AD2"/>
    <w:rsid w:val="004C06E4"/>
    <w:rsid w:val="004C0EC8"/>
    <w:rsid w:val="004C1212"/>
    <w:rsid w:val="004C37EC"/>
    <w:rsid w:val="004C6E77"/>
    <w:rsid w:val="004D35D7"/>
    <w:rsid w:val="004D4406"/>
    <w:rsid w:val="004D56A4"/>
    <w:rsid w:val="004E3A6F"/>
    <w:rsid w:val="004E6983"/>
    <w:rsid w:val="004F42A3"/>
    <w:rsid w:val="004F717D"/>
    <w:rsid w:val="00502C3B"/>
    <w:rsid w:val="005069AE"/>
    <w:rsid w:val="00513359"/>
    <w:rsid w:val="0051379B"/>
    <w:rsid w:val="0051411B"/>
    <w:rsid w:val="00517268"/>
    <w:rsid w:val="00522C9E"/>
    <w:rsid w:val="005311DF"/>
    <w:rsid w:val="00535E18"/>
    <w:rsid w:val="005367D0"/>
    <w:rsid w:val="00543ED0"/>
    <w:rsid w:val="005443FA"/>
    <w:rsid w:val="00551C41"/>
    <w:rsid w:val="00553F40"/>
    <w:rsid w:val="0055768E"/>
    <w:rsid w:val="0056611C"/>
    <w:rsid w:val="005664B3"/>
    <w:rsid w:val="0057208B"/>
    <w:rsid w:val="00572FEC"/>
    <w:rsid w:val="005817DA"/>
    <w:rsid w:val="005818B0"/>
    <w:rsid w:val="005819BC"/>
    <w:rsid w:val="00582B7D"/>
    <w:rsid w:val="0058514C"/>
    <w:rsid w:val="005855F8"/>
    <w:rsid w:val="00587BD4"/>
    <w:rsid w:val="00591C5A"/>
    <w:rsid w:val="00596678"/>
    <w:rsid w:val="005A21CE"/>
    <w:rsid w:val="005A381D"/>
    <w:rsid w:val="005A4895"/>
    <w:rsid w:val="005B01C7"/>
    <w:rsid w:val="005B09CD"/>
    <w:rsid w:val="005B12B1"/>
    <w:rsid w:val="005B17A1"/>
    <w:rsid w:val="005B56C6"/>
    <w:rsid w:val="005B7965"/>
    <w:rsid w:val="005C3E17"/>
    <w:rsid w:val="005C427C"/>
    <w:rsid w:val="005C5A90"/>
    <w:rsid w:val="005C7C2F"/>
    <w:rsid w:val="005D628C"/>
    <w:rsid w:val="005E3414"/>
    <w:rsid w:val="005E3E23"/>
    <w:rsid w:val="005E46BC"/>
    <w:rsid w:val="005F0D03"/>
    <w:rsid w:val="005F0D1C"/>
    <w:rsid w:val="005F25B8"/>
    <w:rsid w:val="005F4383"/>
    <w:rsid w:val="005F631C"/>
    <w:rsid w:val="005F6C15"/>
    <w:rsid w:val="006027CE"/>
    <w:rsid w:val="0060333A"/>
    <w:rsid w:val="00605E65"/>
    <w:rsid w:val="00607444"/>
    <w:rsid w:val="006077CD"/>
    <w:rsid w:val="00610D94"/>
    <w:rsid w:val="00613745"/>
    <w:rsid w:val="00624E4C"/>
    <w:rsid w:val="00625AE2"/>
    <w:rsid w:val="006275B3"/>
    <w:rsid w:val="00633638"/>
    <w:rsid w:val="00635228"/>
    <w:rsid w:val="006370DC"/>
    <w:rsid w:val="00637407"/>
    <w:rsid w:val="00641FF4"/>
    <w:rsid w:val="006444C6"/>
    <w:rsid w:val="006448E4"/>
    <w:rsid w:val="00647884"/>
    <w:rsid w:val="00652C2C"/>
    <w:rsid w:val="006535BF"/>
    <w:rsid w:val="00653E1A"/>
    <w:rsid w:val="00660451"/>
    <w:rsid w:val="006674E8"/>
    <w:rsid w:val="00671B6C"/>
    <w:rsid w:val="00674056"/>
    <w:rsid w:val="0067628D"/>
    <w:rsid w:val="006828B7"/>
    <w:rsid w:val="006829C8"/>
    <w:rsid w:val="00685788"/>
    <w:rsid w:val="00687D6F"/>
    <w:rsid w:val="00693D62"/>
    <w:rsid w:val="0069557E"/>
    <w:rsid w:val="006A4F69"/>
    <w:rsid w:val="006A5992"/>
    <w:rsid w:val="006A7024"/>
    <w:rsid w:val="006B29F7"/>
    <w:rsid w:val="006B409C"/>
    <w:rsid w:val="006B67C2"/>
    <w:rsid w:val="006B7C64"/>
    <w:rsid w:val="006C109D"/>
    <w:rsid w:val="006C39E5"/>
    <w:rsid w:val="006C6ECD"/>
    <w:rsid w:val="006D0A9A"/>
    <w:rsid w:val="006D1F09"/>
    <w:rsid w:val="006E0C11"/>
    <w:rsid w:val="006E585A"/>
    <w:rsid w:val="006E77B3"/>
    <w:rsid w:val="00701B79"/>
    <w:rsid w:val="00706368"/>
    <w:rsid w:val="007107C7"/>
    <w:rsid w:val="00713368"/>
    <w:rsid w:val="00715B8C"/>
    <w:rsid w:val="0071742D"/>
    <w:rsid w:val="00722202"/>
    <w:rsid w:val="00722A05"/>
    <w:rsid w:val="00722D16"/>
    <w:rsid w:val="00732EF0"/>
    <w:rsid w:val="0073344A"/>
    <w:rsid w:val="00734005"/>
    <w:rsid w:val="00736520"/>
    <w:rsid w:val="00743F6E"/>
    <w:rsid w:val="007451AF"/>
    <w:rsid w:val="007455E9"/>
    <w:rsid w:val="0074579C"/>
    <w:rsid w:val="007463D7"/>
    <w:rsid w:val="00746E37"/>
    <w:rsid w:val="00746F22"/>
    <w:rsid w:val="00751700"/>
    <w:rsid w:val="007526F3"/>
    <w:rsid w:val="00753879"/>
    <w:rsid w:val="007543D5"/>
    <w:rsid w:val="00755D33"/>
    <w:rsid w:val="0076080B"/>
    <w:rsid w:val="00760BA1"/>
    <w:rsid w:val="007616C6"/>
    <w:rsid w:val="007638FF"/>
    <w:rsid w:val="00764B15"/>
    <w:rsid w:val="007665DC"/>
    <w:rsid w:val="0076660C"/>
    <w:rsid w:val="007677A1"/>
    <w:rsid w:val="00777A29"/>
    <w:rsid w:val="00792B8C"/>
    <w:rsid w:val="0079412E"/>
    <w:rsid w:val="0079644E"/>
    <w:rsid w:val="00796677"/>
    <w:rsid w:val="00796C15"/>
    <w:rsid w:val="007A327E"/>
    <w:rsid w:val="007A4B2B"/>
    <w:rsid w:val="007A7B44"/>
    <w:rsid w:val="007B0C13"/>
    <w:rsid w:val="007B0F23"/>
    <w:rsid w:val="007B4E57"/>
    <w:rsid w:val="007B7151"/>
    <w:rsid w:val="007C3CE3"/>
    <w:rsid w:val="007C75A0"/>
    <w:rsid w:val="007C7906"/>
    <w:rsid w:val="007D02EC"/>
    <w:rsid w:val="007D0E2D"/>
    <w:rsid w:val="007D1BBE"/>
    <w:rsid w:val="007D2BAC"/>
    <w:rsid w:val="007D36D1"/>
    <w:rsid w:val="007D4EBA"/>
    <w:rsid w:val="007D7971"/>
    <w:rsid w:val="007E0B4A"/>
    <w:rsid w:val="007E10A8"/>
    <w:rsid w:val="007E3AD9"/>
    <w:rsid w:val="007E5495"/>
    <w:rsid w:val="007E672F"/>
    <w:rsid w:val="007F085B"/>
    <w:rsid w:val="007F252F"/>
    <w:rsid w:val="007F2837"/>
    <w:rsid w:val="007F6515"/>
    <w:rsid w:val="008008AB"/>
    <w:rsid w:val="0080104B"/>
    <w:rsid w:val="00805151"/>
    <w:rsid w:val="0080562D"/>
    <w:rsid w:val="0080676D"/>
    <w:rsid w:val="008119D9"/>
    <w:rsid w:val="008124F2"/>
    <w:rsid w:val="00812631"/>
    <w:rsid w:val="00813C49"/>
    <w:rsid w:val="00815E8F"/>
    <w:rsid w:val="0081612B"/>
    <w:rsid w:val="00820704"/>
    <w:rsid w:val="00821308"/>
    <w:rsid w:val="00827D14"/>
    <w:rsid w:val="00831044"/>
    <w:rsid w:val="00833BF7"/>
    <w:rsid w:val="008342AF"/>
    <w:rsid w:val="00834E87"/>
    <w:rsid w:val="00847CEC"/>
    <w:rsid w:val="0085162A"/>
    <w:rsid w:val="008517FE"/>
    <w:rsid w:val="00851C54"/>
    <w:rsid w:val="00855488"/>
    <w:rsid w:val="00860105"/>
    <w:rsid w:val="00863FAD"/>
    <w:rsid w:val="008661F7"/>
    <w:rsid w:val="00866496"/>
    <w:rsid w:val="00866E54"/>
    <w:rsid w:val="008676D3"/>
    <w:rsid w:val="008736E4"/>
    <w:rsid w:val="00876780"/>
    <w:rsid w:val="008846B4"/>
    <w:rsid w:val="0088597B"/>
    <w:rsid w:val="00893B1A"/>
    <w:rsid w:val="00893C1F"/>
    <w:rsid w:val="008951ED"/>
    <w:rsid w:val="0089748F"/>
    <w:rsid w:val="008A0FD0"/>
    <w:rsid w:val="008A13EA"/>
    <w:rsid w:val="008A5593"/>
    <w:rsid w:val="008A5B61"/>
    <w:rsid w:val="008A76CD"/>
    <w:rsid w:val="008B1394"/>
    <w:rsid w:val="008B1854"/>
    <w:rsid w:val="008C2A92"/>
    <w:rsid w:val="008C540B"/>
    <w:rsid w:val="008D0F59"/>
    <w:rsid w:val="008D4E51"/>
    <w:rsid w:val="008D58FC"/>
    <w:rsid w:val="008E0341"/>
    <w:rsid w:val="008E0F99"/>
    <w:rsid w:val="008E72FA"/>
    <w:rsid w:val="008F0394"/>
    <w:rsid w:val="008F48CC"/>
    <w:rsid w:val="0090056C"/>
    <w:rsid w:val="0090111F"/>
    <w:rsid w:val="009018E5"/>
    <w:rsid w:val="00903FE1"/>
    <w:rsid w:val="00907CDC"/>
    <w:rsid w:val="009134F5"/>
    <w:rsid w:val="00913630"/>
    <w:rsid w:val="009140E4"/>
    <w:rsid w:val="00914120"/>
    <w:rsid w:val="00915A4D"/>
    <w:rsid w:val="00921426"/>
    <w:rsid w:val="009227F6"/>
    <w:rsid w:val="009269DA"/>
    <w:rsid w:val="00931072"/>
    <w:rsid w:val="00931A53"/>
    <w:rsid w:val="0093728B"/>
    <w:rsid w:val="00945AEE"/>
    <w:rsid w:val="009521D0"/>
    <w:rsid w:val="00952F0B"/>
    <w:rsid w:val="00955A26"/>
    <w:rsid w:val="009568B8"/>
    <w:rsid w:val="009600EB"/>
    <w:rsid w:val="0096634A"/>
    <w:rsid w:val="00977CDA"/>
    <w:rsid w:val="00980612"/>
    <w:rsid w:val="00981D47"/>
    <w:rsid w:val="00982CBF"/>
    <w:rsid w:val="00990587"/>
    <w:rsid w:val="009A64EB"/>
    <w:rsid w:val="009B0B5F"/>
    <w:rsid w:val="009B28CD"/>
    <w:rsid w:val="009B34A7"/>
    <w:rsid w:val="009B53B3"/>
    <w:rsid w:val="009C0224"/>
    <w:rsid w:val="009C58BB"/>
    <w:rsid w:val="009D19A7"/>
    <w:rsid w:val="009D3CBB"/>
    <w:rsid w:val="009D4B3D"/>
    <w:rsid w:val="009D78AB"/>
    <w:rsid w:val="009E0855"/>
    <w:rsid w:val="009E127D"/>
    <w:rsid w:val="009E432A"/>
    <w:rsid w:val="009E5171"/>
    <w:rsid w:val="009F2537"/>
    <w:rsid w:val="009F2B20"/>
    <w:rsid w:val="009F2EC9"/>
    <w:rsid w:val="009F7F91"/>
    <w:rsid w:val="00A0438C"/>
    <w:rsid w:val="00A043B8"/>
    <w:rsid w:val="00A11E25"/>
    <w:rsid w:val="00A1333D"/>
    <w:rsid w:val="00A148B6"/>
    <w:rsid w:val="00A1692A"/>
    <w:rsid w:val="00A16F3C"/>
    <w:rsid w:val="00A244A1"/>
    <w:rsid w:val="00A25069"/>
    <w:rsid w:val="00A2747B"/>
    <w:rsid w:val="00A328A8"/>
    <w:rsid w:val="00A365BD"/>
    <w:rsid w:val="00A41AD3"/>
    <w:rsid w:val="00A42DEB"/>
    <w:rsid w:val="00A4517D"/>
    <w:rsid w:val="00A45EFE"/>
    <w:rsid w:val="00A46D07"/>
    <w:rsid w:val="00A47F94"/>
    <w:rsid w:val="00A50871"/>
    <w:rsid w:val="00A511D0"/>
    <w:rsid w:val="00A51201"/>
    <w:rsid w:val="00A53DD0"/>
    <w:rsid w:val="00A552B4"/>
    <w:rsid w:val="00A57CC6"/>
    <w:rsid w:val="00A652FE"/>
    <w:rsid w:val="00A6696D"/>
    <w:rsid w:val="00A677E2"/>
    <w:rsid w:val="00A74518"/>
    <w:rsid w:val="00A76158"/>
    <w:rsid w:val="00A77054"/>
    <w:rsid w:val="00A82281"/>
    <w:rsid w:val="00A84756"/>
    <w:rsid w:val="00A85328"/>
    <w:rsid w:val="00A87B71"/>
    <w:rsid w:val="00A92058"/>
    <w:rsid w:val="00A9410D"/>
    <w:rsid w:val="00A963BA"/>
    <w:rsid w:val="00A97E94"/>
    <w:rsid w:val="00AA2602"/>
    <w:rsid w:val="00AA68DC"/>
    <w:rsid w:val="00AB0FB1"/>
    <w:rsid w:val="00AB4426"/>
    <w:rsid w:val="00AB59C5"/>
    <w:rsid w:val="00AB7574"/>
    <w:rsid w:val="00AB790F"/>
    <w:rsid w:val="00AC0C28"/>
    <w:rsid w:val="00AC33D5"/>
    <w:rsid w:val="00AC55BE"/>
    <w:rsid w:val="00AC5752"/>
    <w:rsid w:val="00AD0190"/>
    <w:rsid w:val="00AD032E"/>
    <w:rsid w:val="00AD0F34"/>
    <w:rsid w:val="00AD3A13"/>
    <w:rsid w:val="00AE7348"/>
    <w:rsid w:val="00AE7D1E"/>
    <w:rsid w:val="00AF29E2"/>
    <w:rsid w:val="00B0042B"/>
    <w:rsid w:val="00B006E9"/>
    <w:rsid w:val="00B00D94"/>
    <w:rsid w:val="00B151DA"/>
    <w:rsid w:val="00B155CA"/>
    <w:rsid w:val="00B17B1A"/>
    <w:rsid w:val="00B2151E"/>
    <w:rsid w:val="00B22642"/>
    <w:rsid w:val="00B22FF6"/>
    <w:rsid w:val="00B23E31"/>
    <w:rsid w:val="00B25CB5"/>
    <w:rsid w:val="00B27B3B"/>
    <w:rsid w:val="00B322D8"/>
    <w:rsid w:val="00B346F3"/>
    <w:rsid w:val="00B36990"/>
    <w:rsid w:val="00B41AFA"/>
    <w:rsid w:val="00B43DB0"/>
    <w:rsid w:val="00B51286"/>
    <w:rsid w:val="00B52B74"/>
    <w:rsid w:val="00B53A8F"/>
    <w:rsid w:val="00B57AD0"/>
    <w:rsid w:val="00B64EFA"/>
    <w:rsid w:val="00B70302"/>
    <w:rsid w:val="00B71B3F"/>
    <w:rsid w:val="00B7296D"/>
    <w:rsid w:val="00B74327"/>
    <w:rsid w:val="00B7536A"/>
    <w:rsid w:val="00B761FF"/>
    <w:rsid w:val="00B77F44"/>
    <w:rsid w:val="00B817F3"/>
    <w:rsid w:val="00B8219E"/>
    <w:rsid w:val="00B82859"/>
    <w:rsid w:val="00B8286F"/>
    <w:rsid w:val="00B90611"/>
    <w:rsid w:val="00B96E32"/>
    <w:rsid w:val="00BA3180"/>
    <w:rsid w:val="00BA3DA0"/>
    <w:rsid w:val="00BA49C6"/>
    <w:rsid w:val="00BA5AF6"/>
    <w:rsid w:val="00BB1580"/>
    <w:rsid w:val="00BB2485"/>
    <w:rsid w:val="00BB2538"/>
    <w:rsid w:val="00BB2F8B"/>
    <w:rsid w:val="00BB3BEC"/>
    <w:rsid w:val="00BB47DA"/>
    <w:rsid w:val="00BB7B1B"/>
    <w:rsid w:val="00BC0482"/>
    <w:rsid w:val="00BC4207"/>
    <w:rsid w:val="00BC71BF"/>
    <w:rsid w:val="00BC7A3F"/>
    <w:rsid w:val="00BC7AB6"/>
    <w:rsid w:val="00BC7D27"/>
    <w:rsid w:val="00BD2809"/>
    <w:rsid w:val="00BD3C3E"/>
    <w:rsid w:val="00BD5708"/>
    <w:rsid w:val="00BD62E6"/>
    <w:rsid w:val="00BE1D60"/>
    <w:rsid w:val="00BE359E"/>
    <w:rsid w:val="00BF1D02"/>
    <w:rsid w:val="00BF6D2E"/>
    <w:rsid w:val="00C01A6A"/>
    <w:rsid w:val="00C0221D"/>
    <w:rsid w:val="00C051FA"/>
    <w:rsid w:val="00C108EF"/>
    <w:rsid w:val="00C112C9"/>
    <w:rsid w:val="00C121CC"/>
    <w:rsid w:val="00C23C01"/>
    <w:rsid w:val="00C23C90"/>
    <w:rsid w:val="00C34616"/>
    <w:rsid w:val="00C355D2"/>
    <w:rsid w:val="00C35CEA"/>
    <w:rsid w:val="00C439A0"/>
    <w:rsid w:val="00C44332"/>
    <w:rsid w:val="00C4608D"/>
    <w:rsid w:val="00C51AD2"/>
    <w:rsid w:val="00C52909"/>
    <w:rsid w:val="00C5573B"/>
    <w:rsid w:val="00C57F8D"/>
    <w:rsid w:val="00C62D34"/>
    <w:rsid w:val="00C65157"/>
    <w:rsid w:val="00C732C3"/>
    <w:rsid w:val="00C74239"/>
    <w:rsid w:val="00C74D52"/>
    <w:rsid w:val="00C83574"/>
    <w:rsid w:val="00C87B2C"/>
    <w:rsid w:val="00C91454"/>
    <w:rsid w:val="00C949BE"/>
    <w:rsid w:val="00C9765A"/>
    <w:rsid w:val="00CA2DA2"/>
    <w:rsid w:val="00CA6C6D"/>
    <w:rsid w:val="00CB34C1"/>
    <w:rsid w:val="00CB5D22"/>
    <w:rsid w:val="00CB6A62"/>
    <w:rsid w:val="00CD13C2"/>
    <w:rsid w:val="00CD4119"/>
    <w:rsid w:val="00CE2255"/>
    <w:rsid w:val="00CF205F"/>
    <w:rsid w:val="00CF2EB0"/>
    <w:rsid w:val="00D01484"/>
    <w:rsid w:val="00D05BD6"/>
    <w:rsid w:val="00D069BE"/>
    <w:rsid w:val="00D07375"/>
    <w:rsid w:val="00D07580"/>
    <w:rsid w:val="00D10685"/>
    <w:rsid w:val="00D12C12"/>
    <w:rsid w:val="00D16596"/>
    <w:rsid w:val="00D16D42"/>
    <w:rsid w:val="00D1774A"/>
    <w:rsid w:val="00D200A4"/>
    <w:rsid w:val="00D221F3"/>
    <w:rsid w:val="00D222AB"/>
    <w:rsid w:val="00D26502"/>
    <w:rsid w:val="00D30A59"/>
    <w:rsid w:val="00D3165B"/>
    <w:rsid w:val="00D32122"/>
    <w:rsid w:val="00D42A8B"/>
    <w:rsid w:val="00D42E7A"/>
    <w:rsid w:val="00D4344B"/>
    <w:rsid w:val="00D46E11"/>
    <w:rsid w:val="00D47368"/>
    <w:rsid w:val="00D477E1"/>
    <w:rsid w:val="00D47DBD"/>
    <w:rsid w:val="00D510FE"/>
    <w:rsid w:val="00D51F2A"/>
    <w:rsid w:val="00D53527"/>
    <w:rsid w:val="00D53CD1"/>
    <w:rsid w:val="00D60FCA"/>
    <w:rsid w:val="00D623A7"/>
    <w:rsid w:val="00D64F24"/>
    <w:rsid w:val="00D66A52"/>
    <w:rsid w:val="00D6724B"/>
    <w:rsid w:val="00D677FD"/>
    <w:rsid w:val="00D67EB3"/>
    <w:rsid w:val="00D80D2B"/>
    <w:rsid w:val="00D82C9C"/>
    <w:rsid w:val="00D8483A"/>
    <w:rsid w:val="00D857E4"/>
    <w:rsid w:val="00D85A3A"/>
    <w:rsid w:val="00D90334"/>
    <w:rsid w:val="00D91DF5"/>
    <w:rsid w:val="00D932FC"/>
    <w:rsid w:val="00D95D16"/>
    <w:rsid w:val="00DA47B2"/>
    <w:rsid w:val="00DA49F8"/>
    <w:rsid w:val="00DA61E8"/>
    <w:rsid w:val="00DC20B6"/>
    <w:rsid w:val="00DC6736"/>
    <w:rsid w:val="00DD361C"/>
    <w:rsid w:val="00DD43ED"/>
    <w:rsid w:val="00DE3A2A"/>
    <w:rsid w:val="00DE42EF"/>
    <w:rsid w:val="00DF3E93"/>
    <w:rsid w:val="00DF4C8F"/>
    <w:rsid w:val="00E0058E"/>
    <w:rsid w:val="00E0347E"/>
    <w:rsid w:val="00E115EF"/>
    <w:rsid w:val="00E173D4"/>
    <w:rsid w:val="00E177B5"/>
    <w:rsid w:val="00E22A67"/>
    <w:rsid w:val="00E24D84"/>
    <w:rsid w:val="00E253B9"/>
    <w:rsid w:val="00E316DE"/>
    <w:rsid w:val="00E364B2"/>
    <w:rsid w:val="00E438B9"/>
    <w:rsid w:val="00E43E88"/>
    <w:rsid w:val="00E4612D"/>
    <w:rsid w:val="00E46E15"/>
    <w:rsid w:val="00E50006"/>
    <w:rsid w:val="00E50329"/>
    <w:rsid w:val="00E513D4"/>
    <w:rsid w:val="00E525E8"/>
    <w:rsid w:val="00E52D6A"/>
    <w:rsid w:val="00E60692"/>
    <w:rsid w:val="00E65BE4"/>
    <w:rsid w:val="00E66C6C"/>
    <w:rsid w:val="00E72228"/>
    <w:rsid w:val="00E74919"/>
    <w:rsid w:val="00E75E92"/>
    <w:rsid w:val="00E7623C"/>
    <w:rsid w:val="00E83079"/>
    <w:rsid w:val="00E839DA"/>
    <w:rsid w:val="00E86A87"/>
    <w:rsid w:val="00E871EE"/>
    <w:rsid w:val="00E949BA"/>
    <w:rsid w:val="00E96C67"/>
    <w:rsid w:val="00EA6C68"/>
    <w:rsid w:val="00EB0DB1"/>
    <w:rsid w:val="00EB1DDA"/>
    <w:rsid w:val="00EB2E64"/>
    <w:rsid w:val="00EB3DA2"/>
    <w:rsid w:val="00EB7877"/>
    <w:rsid w:val="00EC1A69"/>
    <w:rsid w:val="00EC5BD9"/>
    <w:rsid w:val="00EC6572"/>
    <w:rsid w:val="00EC6F28"/>
    <w:rsid w:val="00ED0E3B"/>
    <w:rsid w:val="00ED1691"/>
    <w:rsid w:val="00ED52B1"/>
    <w:rsid w:val="00ED55A9"/>
    <w:rsid w:val="00ED57D2"/>
    <w:rsid w:val="00ED70C7"/>
    <w:rsid w:val="00EE1D34"/>
    <w:rsid w:val="00EE3FD5"/>
    <w:rsid w:val="00EE628F"/>
    <w:rsid w:val="00EF01D7"/>
    <w:rsid w:val="00EF1453"/>
    <w:rsid w:val="00EF1D93"/>
    <w:rsid w:val="00EF30C7"/>
    <w:rsid w:val="00EF597D"/>
    <w:rsid w:val="00EF72F1"/>
    <w:rsid w:val="00EF7FF8"/>
    <w:rsid w:val="00F03242"/>
    <w:rsid w:val="00F14C39"/>
    <w:rsid w:val="00F17429"/>
    <w:rsid w:val="00F17D04"/>
    <w:rsid w:val="00F210EF"/>
    <w:rsid w:val="00F22C94"/>
    <w:rsid w:val="00F23B39"/>
    <w:rsid w:val="00F24AA9"/>
    <w:rsid w:val="00F251D3"/>
    <w:rsid w:val="00F265E1"/>
    <w:rsid w:val="00F300A4"/>
    <w:rsid w:val="00F31ED0"/>
    <w:rsid w:val="00F32419"/>
    <w:rsid w:val="00F3653A"/>
    <w:rsid w:val="00F416E6"/>
    <w:rsid w:val="00F42E69"/>
    <w:rsid w:val="00F44A58"/>
    <w:rsid w:val="00F4586F"/>
    <w:rsid w:val="00F55116"/>
    <w:rsid w:val="00F61807"/>
    <w:rsid w:val="00F6536E"/>
    <w:rsid w:val="00F65476"/>
    <w:rsid w:val="00F74598"/>
    <w:rsid w:val="00F75426"/>
    <w:rsid w:val="00F8079E"/>
    <w:rsid w:val="00F842F9"/>
    <w:rsid w:val="00F87049"/>
    <w:rsid w:val="00F8774E"/>
    <w:rsid w:val="00F87A80"/>
    <w:rsid w:val="00F90FA9"/>
    <w:rsid w:val="00F93A86"/>
    <w:rsid w:val="00F9544C"/>
    <w:rsid w:val="00F958A7"/>
    <w:rsid w:val="00F9591D"/>
    <w:rsid w:val="00FA1138"/>
    <w:rsid w:val="00FA1E9C"/>
    <w:rsid w:val="00FA4E98"/>
    <w:rsid w:val="00FB01FE"/>
    <w:rsid w:val="00FB058F"/>
    <w:rsid w:val="00FB18BD"/>
    <w:rsid w:val="00FB4594"/>
    <w:rsid w:val="00FB61DD"/>
    <w:rsid w:val="00FB65FF"/>
    <w:rsid w:val="00FB77B2"/>
    <w:rsid w:val="00FC027D"/>
    <w:rsid w:val="00FC1C4D"/>
    <w:rsid w:val="00FD1FA4"/>
    <w:rsid w:val="00FD2E2D"/>
    <w:rsid w:val="00FD5B46"/>
    <w:rsid w:val="00FE1206"/>
    <w:rsid w:val="00FE4487"/>
    <w:rsid w:val="00FE53C5"/>
    <w:rsid w:val="00FE6508"/>
    <w:rsid w:val="00FE68BE"/>
    <w:rsid w:val="00FE7C3B"/>
    <w:rsid w:val="00FF05E2"/>
    <w:rsid w:val="00F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CE3"/>
    <w:pPr>
      <w:spacing w:before="160" w:after="160" w:line="259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Kapitola"/>
    <w:basedOn w:val="Normln"/>
    <w:next w:val="Normln"/>
    <w:link w:val="Nadpis1Char"/>
    <w:uiPriority w:val="9"/>
    <w:qFormat/>
    <w:rsid w:val="000E4F8E"/>
    <w:pPr>
      <w:keepNext/>
      <w:keepLines/>
      <w:numPr>
        <w:numId w:val="1"/>
      </w:numPr>
      <w:pBdr>
        <w:top w:val="single" w:sz="12" w:space="1" w:color="0084D1"/>
        <w:left w:val="single" w:sz="12" w:space="4" w:color="0084D1"/>
        <w:bottom w:val="single" w:sz="12" w:space="1" w:color="0084D1"/>
        <w:right w:val="single" w:sz="12" w:space="4" w:color="0084D1"/>
      </w:pBdr>
      <w:shd w:val="clear" w:color="auto" w:fill="0084D1"/>
      <w:spacing w:after="0"/>
      <w:outlineLvl w:val="0"/>
    </w:pPr>
    <w:rPr>
      <w:rFonts w:eastAsia="Times New Roman"/>
      <w:b/>
      <w:color w:val="FFFFFF"/>
      <w:sz w:val="28"/>
      <w:szCs w:val="32"/>
    </w:rPr>
  </w:style>
  <w:style w:type="paragraph" w:styleId="Nadpis2">
    <w:name w:val="heading 2"/>
    <w:aliases w:val="Text kapitoly bezpečnostního listu"/>
    <w:basedOn w:val="Normln"/>
    <w:next w:val="Normln"/>
    <w:link w:val="Nadpis2Char"/>
    <w:uiPriority w:val="9"/>
    <w:unhideWhenUsed/>
    <w:qFormat/>
    <w:rsid w:val="0001425A"/>
    <w:pPr>
      <w:numPr>
        <w:ilvl w:val="1"/>
        <w:numId w:val="1"/>
      </w:numPr>
      <w:outlineLvl w:val="1"/>
    </w:pPr>
    <w:rPr>
      <w:rFonts w:eastAsia="Times New Roman"/>
      <w:color w:val="00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394"/>
  </w:style>
  <w:style w:type="paragraph" w:styleId="Zpat">
    <w:name w:val="footer"/>
    <w:basedOn w:val="Normln"/>
    <w:link w:val="ZpatChar"/>
    <w:uiPriority w:val="99"/>
    <w:unhideWhenUsed/>
    <w:rsid w:val="008F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394"/>
  </w:style>
  <w:style w:type="table" w:styleId="Mkatabulky">
    <w:name w:val="Table Grid"/>
    <w:basedOn w:val="Normlntabulka"/>
    <w:uiPriority w:val="39"/>
    <w:rsid w:val="008F0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rsid w:val="00F6536E"/>
    <w:pPr>
      <w:ind w:left="720"/>
      <w:contextualSpacing/>
    </w:pPr>
  </w:style>
  <w:style w:type="character" w:customStyle="1" w:styleId="Nadpis1Char">
    <w:name w:val="Nadpis 1 Char"/>
    <w:aliases w:val="Kapitola Char"/>
    <w:link w:val="Nadpis1"/>
    <w:uiPriority w:val="9"/>
    <w:rsid w:val="000E4F8E"/>
    <w:rPr>
      <w:rFonts w:ascii="Arial" w:eastAsia="Times New Roman" w:hAnsi="Arial" w:cs="Times New Roman"/>
      <w:b/>
      <w:color w:val="FFFFFF"/>
      <w:sz w:val="28"/>
      <w:szCs w:val="32"/>
      <w:shd w:val="clear" w:color="auto" w:fill="0084D1"/>
    </w:rPr>
  </w:style>
  <w:style w:type="character" w:customStyle="1" w:styleId="Nadpis2Char">
    <w:name w:val="Nadpis 2 Char"/>
    <w:aliases w:val="Text kapitoly bezpečnostního listu Char"/>
    <w:link w:val="Nadpis2"/>
    <w:uiPriority w:val="9"/>
    <w:rsid w:val="0001425A"/>
    <w:rPr>
      <w:rFonts w:ascii="Arial" w:eastAsia="Times New Roman" w:hAnsi="Arial" w:cs="Times New Roman"/>
      <w:color w:val="000000"/>
      <w:szCs w:val="26"/>
    </w:rPr>
  </w:style>
  <w:style w:type="paragraph" w:customStyle="1" w:styleId="Tabulka">
    <w:name w:val="Tabulka"/>
    <w:basedOn w:val="Normln"/>
    <w:qFormat/>
    <w:rsid w:val="00234025"/>
    <w:pPr>
      <w:spacing w:before="40" w:after="40" w:line="240" w:lineRule="auto"/>
    </w:pPr>
    <w:rPr>
      <w:sz w:val="18"/>
    </w:rPr>
  </w:style>
  <w:style w:type="paragraph" w:customStyle="1" w:styleId="western">
    <w:name w:val="western"/>
    <w:basedOn w:val="Normln"/>
    <w:rsid w:val="00F23B39"/>
    <w:pPr>
      <w:spacing w:before="100" w:beforeAutospacing="1" w:after="142" w:line="288" w:lineRule="auto"/>
    </w:pPr>
    <w:rPr>
      <w:rFonts w:ascii="Times New Roman" w:eastAsia="Times New Roman" w:hAnsi="Times New Roman"/>
      <w:lang w:eastAsia="cs-CZ"/>
    </w:rPr>
  </w:style>
  <w:style w:type="character" w:customStyle="1" w:styleId="hps">
    <w:name w:val="hps"/>
    <w:basedOn w:val="Standardnpsmoodstavce"/>
    <w:rsid w:val="00E86A87"/>
  </w:style>
  <w:style w:type="paragraph" w:customStyle="1" w:styleId="Default">
    <w:name w:val="Default"/>
    <w:rsid w:val="00E86A8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shorttext">
    <w:name w:val="short_text"/>
    <w:basedOn w:val="Standardnpsmoodstavce"/>
    <w:rsid w:val="00F87049"/>
  </w:style>
  <w:style w:type="character" w:styleId="Hypertextovodkaz">
    <w:name w:val="Hyperlink"/>
    <w:basedOn w:val="Standardnpsmoodstavce"/>
    <w:uiPriority w:val="99"/>
    <w:unhideWhenUsed/>
    <w:rsid w:val="0008712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F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F5A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5B796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ava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A33D-1168-49EA-8F65-B2EB69CA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2622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Bezděk</dc:creator>
  <cp:lastModifiedBy>Miriam</cp:lastModifiedBy>
  <cp:revision>2</cp:revision>
  <cp:lastPrinted>2018-04-14T22:09:00Z</cp:lastPrinted>
  <dcterms:created xsi:type="dcterms:W3CDTF">2018-05-30T17:42:00Z</dcterms:created>
  <dcterms:modified xsi:type="dcterms:W3CDTF">2018-05-30T17:42:00Z</dcterms:modified>
</cp:coreProperties>
</file>